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1" name="Picture 1"/>
            <wp:cNvGraphicFramePr>
              <a:graphicFrameLocks noChangeAspect="1"/>
            </wp:cNvGraphicFramePr>
            <a:graphic>
              <a:graphicData uri="http://schemas.openxmlformats.org/drawingml/2006/picture">
                <pic:pic>
                  <pic:nvPicPr>
                    <pic:cNvPr id="0" name="25_nominalizacion.png"/>
                    <pic:cNvPicPr/>
                  </pic:nvPicPr>
                  <pic:blipFill>
                    <a:blip r:embed="rId9"/>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 name="Picture 2"/>
            <wp:cNvGraphicFramePr>
              <a:graphicFrameLocks noChangeAspect="1"/>
            </wp:cNvGraphicFramePr>
            <a:graphic>
              <a:graphicData uri="http://schemas.openxmlformats.org/drawingml/2006/picture">
                <pic:pic>
                  <pic:nvPicPr>
                    <pic:cNvPr id="0" name="26_modales_decoradores.png"/>
                    <pic:cNvPicPr/>
                  </pic:nvPicPr>
                  <pic:blipFill>
                    <a:blip r:embed="rId10"/>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