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</w:t>
      </w:r>
    </w:p>
    <w:p>
      <w:r>
        <w:rPr>
          <w:b w:val="0"/>
          <w:i w:val="0"/>
          <w:u w:val="none"/>
        </w:rPr>
        <w:t xml:space="preserve">Lista numerada de fuentes y precedentes citados en el libro. En el texto, las referencias se marcan con su número entre corchetes: por ejemplo, </w:t>
      </w:r>
      <w:r>
        <w:rPr>
          <w:rFonts w:ascii="Courier New" w:hAnsi="Courier New"/>
          <w:b w:val="0"/>
          <w:i w:val="0"/>
          <w:sz w:val="20"/>
          <w:u w:val="none"/>
        </w:rPr>
        <w:t>[4]</w:t>
      </w:r>
      <w:r>
        <w:rPr>
          <w:b w:val="0"/>
          <w:i w:val="0"/>
          <w:u w:val="none"/>
        </w:rPr>
        <w:t xml:space="preserve"> remite a CIDOC CRM. La numeración es estable y se asigna por orden de primera aparición.</w:t>
      </w:r>
    </w:p>
    <w:p>
      <w:r>
        <w:rPr>
          <w:b w:val="0"/>
          <w:i w:val="0"/>
          <w:u w:val="none"/>
        </w:rPr>
        <w:t xml:space="preserve">Las fichas extensas con análisis comparativo de los precedentes principales viven en el directorio </w:t>
      </w:r>
      <w:r>
        <w:rPr>
          <w:rFonts w:ascii="Courier New" w:hAnsi="Courier New"/>
          <w:b w:val="0"/>
          <w:i w:val="0"/>
          <w:sz w:val="20"/>
          <w:u w:val="none"/>
        </w:rPr>
        <w:t>related/</w:t>
      </w:r>
      <w:r>
        <w:rPr>
          <w:b w:val="0"/>
          <w:i w:val="0"/>
          <w:u w:val="none"/>
        </w:rPr>
        <w:t xml:space="preserve"> del proyecto fuente; aquí solo aparecen los datos bibliográficos.</w:t>
      </w:r>
    </w:p>
    <w:p>
      <w:pPr>
        <w:pStyle w:val="Heading2"/>
      </w:pPr>
      <w:r>
        <w:t>Filosofía y retórica clásica</w:t>
      </w:r>
    </w:p>
    <w:p>
      <w:r>
        <w:rPr>
          <w:b/>
          <w:i w:val="0"/>
          <w:u w:val="none"/>
        </w:rPr>
        <w:t>[1]</w:t>
      </w:r>
      <w:r>
        <w:rPr>
          <w:b w:val="0"/>
          <w:i w:val="0"/>
          <w:u w:val="none"/>
        </w:rPr>
        <w:t xml:space="preserve"> Aristóteles. </w:t>
      </w:r>
      <w:r>
        <w:rPr>
          <w:b w:val="0"/>
          <w:i/>
          <w:u w:val="none"/>
        </w:rPr>
        <w:t>Ética a Nicómaco</w:t>
      </w:r>
      <w:r>
        <w:rPr>
          <w:b w:val="0"/>
          <w:i w:val="0"/>
          <w:u w:val="none"/>
        </w:rPr>
        <w:t>, libro III. Discusión de las circunstancias del acto voluntario como criterio para evaluar la responsabilidad moral.</w:t>
      </w:r>
    </w:p>
    <w:p>
      <w:r>
        <w:rPr>
          <w:b/>
          <w:i w:val="0"/>
          <w:u w:val="none"/>
        </w:rPr>
        <w:t>[2]</w:t>
      </w:r>
      <w:r>
        <w:rPr>
          <w:b w:val="0"/>
          <w:i w:val="0"/>
          <w:u w:val="none"/>
        </w:rPr>
        <w:t xml:space="preserve"> Cicerón. </w:t>
      </w:r>
      <w:r>
        <w:rPr>
          <w:b w:val="0"/>
          <w:i/>
          <w:u w:val="none"/>
        </w:rPr>
        <w:t>De inventione</w:t>
      </w:r>
      <w:r>
        <w:rPr>
          <w:b w:val="0"/>
          <w:i w:val="0"/>
          <w:u w:val="none"/>
        </w:rPr>
        <w:t xml:space="preserve">, libro I (siglo I a.C.). Lista canónica de las </w:t>
      </w:r>
      <w:r>
        <w:rPr>
          <w:b w:val="0"/>
          <w:i/>
          <w:u w:val="none"/>
        </w:rPr>
        <w:t>circumstantiae</w:t>
      </w:r>
      <w:r>
        <w:rPr>
          <w:b w:val="0"/>
          <w:i w:val="0"/>
          <w:u w:val="none"/>
        </w:rPr>
        <w:t xml:space="preserve"> romanas: </w:t>
      </w:r>
      <w:r>
        <w:rPr>
          <w:b w:val="0"/>
          <w:i/>
          <w:u w:val="none"/>
        </w:rPr>
        <w:t>quis, quid, ubi, quibus auxiliis, cur, quomodo, quando</w:t>
      </w:r>
      <w:r>
        <w:rPr>
          <w:b w:val="0"/>
          <w:i w:val="0"/>
          <w:u w:val="none"/>
        </w:rPr>
        <w:t>.</w:t>
      </w:r>
    </w:p>
    <w:p>
      <w:r>
        <w:rPr>
          <w:b/>
          <w:i w:val="0"/>
          <w:u w:val="none"/>
        </w:rPr>
        <w:t>[25]</w:t>
      </w:r>
      <w:r>
        <w:rPr>
          <w:b w:val="0"/>
          <w:i w:val="0"/>
          <w:u w:val="none"/>
        </w:rPr>
        <w:t xml:space="preserve"> Quintiliano. </w:t>
      </w:r>
      <w:r>
        <w:rPr>
          <w:b w:val="0"/>
          <w:i/>
          <w:u w:val="none"/>
        </w:rPr>
        <w:t>Institutio Oratoria</w:t>
      </w:r>
      <w:r>
        <w:rPr>
          <w:b w:val="0"/>
          <w:i w:val="0"/>
          <w:u w:val="none"/>
        </w:rPr>
        <w:t>, siglo I d.C. Refinamiento retórico del esquema de las circunstancias heredado de Cicerón y Hermágoras.</w:t>
      </w:r>
    </w:p>
    <w:p>
      <w:r>
        <w:rPr>
          <w:b/>
          <w:i w:val="0"/>
          <w:u w:val="none"/>
        </w:rPr>
        <w:t>[26]</w:t>
      </w:r>
      <w:r>
        <w:rPr>
          <w:b w:val="0"/>
          <w:i w:val="0"/>
          <w:u w:val="none"/>
        </w:rPr>
        <w:t xml:space="preserve"> Tomás de Aquino. </w:t>
      </w:r>
      <w:r>
        <w:rPr>
          <w:b w:val="0"/>
          <w:i/>
          <w:u w:val="none"/>
        </w:rPr>
        <w:t>Summa Theologica</w:t>
      </w:r>
      <w:r>
        <w:rPr>
          <w:b w:val="0"/>
          <w:i w:val="0"/>
          <w:u w:val="none"/>
        </w:rPr>
        <w:t>, I-II, q. 7 (siglo XIII). Retoma las circunstancias del acto como categorías para evaluar su moralidad.</w:t>
      </w:r>
    </w:p>
    <w:p>
      <w:pPr>
        <w:pStyle w:val="Heading2"/>
      </w:pPr>
      <w:r>
        <w:t>Periodismo</w:t>
      </w:r>
    </w:p>
    <w:p>
      <w:r>
        <w:rPr>
          <w:b/>
          <w:i w:val="0"/>
          <w:u w:val="none"/>
        </w:rPr>
        <w:t>[3]</w:t>
      </w:r>
      <w:r>
        <w:rPr>
          <w:b w:val="0"/>
          <w:i w:val="0"/>
          <w:u w:val="none"/>
        </w:rPr>
        <w:t xml:space="preserve"> Bleyer, W. G. </w:t>
      </w:r>
      <w:r>
        <w:rPr>
          <w:b w:val="0"/>
          <w:i/>
          <w:u w:val="none"/>
        </w:rPr>
        <w:t>Newspaper Writing and Editing</w:t>
      </w:r>
      <w:r>
        <w:rPr>
          <w:b w:val="0"/>
          <w:i w:val="0"/>
          <w:u w:val="none"/>
        </w:rPr>
        <w:t>. Houghton Mifflin, 1913. Texto fundacional que codifica los 5W1H como obligación de toda nota informativa.</w:t>
      </w:r>
    </w:p>
    <w:p>
      <w:pPr>
        <w:pStyle w:val="Heading2"/>
      </w:pPr>
      <w:r>
        <w:t>Ontologías de dominio</w:t>
      </w:r>
    </w:p>
    <w:p>
      <w:r>
        <w:rPr>
          <w:b/>
          <w:i w:val="0"/>
          <w:u w:val="none"/>
        </w:rPr>
        <w:t>[4] CIDOC CRM</w:t>
      </w:r>
      <w:r>
        <w:rPr>
          <w:b w:val="0"/>
          <w:i w:val="0"/>
          <w:u w:val="none"/>
        </w:rPr>
        <w:t xml:space="preserve"> — </w:t>
      </w:r>
      <w:r>
        <w:rPr>
          <w:b w:val="0"/>
          <w:i/>
          <w:u w:val="none"/>
        </w:rPr>
        <w:t>Conceptual Reference Model</w:t>
      </w:r>
      <w:r>
        <w:rPr>
          <w:b w:val="0"/>
          <w:i w:val="0"/>
          <w:u w:val="none"/>
        </w:rPr>
        <w:t xml:space="preserve"> del International Council of Museums. Norma ISO 21127:2014. &lt;https://www.cidoc-crm.org&gt;</w:t>
      </w:r>
    </w:p>
    <w:p>
      <w:r>
        <w:rPr>
          <w:b/>
          <w:i w:val="0"/>
          <w:u w:val="none"/>
        </w:rPr>
        <w:t>[5] Biolink Model</w:t>
      </w:r>
      <w:r>
        <w:rPr>
          <w:b w:val="0"/>
          <w:i w:val="0"/>
          <w:u w:val="none"/>
        </w:rPr>
        <w:t xml:space="preserve"> — Modelo unificador de tipos y predicados para datos biomédicos. &lt;https://biolink.github.io/biolink-model&gt;</w:t>
      </w:r>
    </w:p>
    <w:p>
      <w:r>
        <w:rPr>
          <w:b/>
          <w:i w:val="0"/>
          <w:u w:val="none"/>
        </w:rPr>
        <w:t>[30] Schema.org</w:t>
      </w:r>
      <w:r>
        <w:rPr>
          <w:b w:val="0"/>
          <w:i w:val="0"/>
          <w:u w:val="none"/>
        </w:rPr>
        <w:t xml:space="preserve"> — Vocabulario estandarizado para datos estructurados en la web. Iniciativa conjunta de Google, Microsoft, Yandex y Yahoo. &lt;https://schema.org&gt;</w:t>
      </w:r>
    </w:p>
    <w:p>
      <w:r>
        <w:rPr>
          <w:b/>
          <w:i w:val="0"/>
          <w:u w:val="none"/>
        </w:rPr>
        <w:t>[19] IFC</w:t>
      </w:r>
      <w:r>
        <w:rPr>
          <w:b w:val="0"/>
          <w:i w:val="0"/>
          <w:u w:val="none"/>
        </w:rPr>
        <w:t xml:space="preserve"> — </w:t>
      </w:r>
      <w:r>
        <w:rPr>
          <w:b w:val="0"/>
          <w:i/>
          <w:u w:val="none"/>
        </w:rPr>
        <w:t>Industry Foundation Classes</w:t>
      </w:r>
      <w:r>
        <w:rPr>
          <w:b w:val="0"/>
          <w:i w:val="0"/>
          <w:u w:val="none"/>
        </w:rPr>
        <w:t>. ISO 16739. Estándar de datos para arquitectura, ingeniería y construcción. &lt;https://www.buildingsmart.org/standards/bsi-standards/industry-foundation-classes&gt;</w:t>
      </w:r>
    </w:p>
    <w:p>
      <w:pPr>
        <w:pStyle w:val="Heading2"/>
      </w:pPr>
      <w:r>
        <w:t>Estándares de intercambio</w:t>
      </w:r>
    </w:p>
    <w:p>
      <w:r>
        <w:rPr>
          <w:b/>
          <w:i w:val="0"/>
          <w:u w:val="none"/>
        </w:rPr>
        <w:t>[6] HL7 FHIR</w:t>
      </w:r>
      <w:r>
        <w:rPr>
          <w:b w:val="0"/>
          <w:i w:val="0"/>
          <w:u w:val="none"/>
        </w:rPr>
        <w:t xml:space="preserve"> — </w:t>
      </w:r>
      <w:r>
        <w:rPr>
          <w:b w:val="0"/>
          <w:i/>
          <w:u w:val="none"/>
        </w:rPr>
        <w:t>Fast Healthcare Interoperability Resources</w:t>
      </w:r>
      <w:r>
        <w:rPr>
          <w:b w:val="0"/>
          <w:i w:val="0"/>
          <w:u w:val="none"/>
        </w:rPr>
        <w:t>. Estándar de intercambio en salud. &lt;https://www.hl7.org/fhir&gt;</w:t>
      </w:r>
    </w:p>
    <w:p>
      <w:r>
        <w:rPr>
          <w:b/>
          <w:i w:val="0"/>
          <w:u w:val="none"/>
        </w:rPr>
        <w:t>[7] XBRL</w:t>
      </w:r>
      <w:r>
        <w:rPr>
          <w:b w:val="0"/>
          <w:i w:val="0"/>
          <w:u w:val="none"/>
        </w:rPr>
        <w:t xml:space="preserve"> — </w:t>
      </w:r>
      <w:r>
        <w:rPr>
          <w:b w:val="0"/>
          <w:i/>
          <w:u w:val="none"/>
        </w:rPr>
        <w:t>eXtensible Business Reporting Language</w:t>
      </w:r>
      <w:r>
        <w:rPr>
          <w:b w:val="0"/>
          <w:i w:val="0"/>
          <w:u w:val="none"/>
        </w:rPr>
        <w:t>. Estándar para reportes financieros corporativos. &lt;https://www.xbrl.org&gt;</w:t>
      </w:r>
    </w:p>
    <w:p>
      <w:r>
        <w:rPr>
          <w:b/>
          <w:i w:val="0"/>
          <w:u w:val="none"/>
        </w:rPr>
        <w:t>[20] EDI</w:t>
      </w:r>
      <w:r>
        <w:rPr>
          <w:b w:val="0"/>
          <w:i w:val="0"/>
          <w:u w:val="none"/>
        </w:rPr>
        <w:t xml:space="preserve"> — </w:t>
      </w:r>
      <w:r>
        <w:rPr>
          <w:b w:val="0"/>
          <w:i/>
          <w:u w:val="none"/>
        </w:rPr>
        <w:t>Electronic Data Interchange</w:t>
      </w:r>
      <w:r>
        <w:rPr>
          <w:b w:val="0"/>
          <w:i w:val="0"/>
          <w:u w:val="none"/>
        </w:rPr>
        <w:t>. Familia de estándares (X12, EDIFACT) para intercambio comercial estructurado.</w:t>
      </w:r>
    </w:p>
    <w:p>
      <w:r>
        <w:rPr>
          <w:b/>
          <w:i w:val="0"/>
          <w:u w:val="none"/>
        </w:rPr>
        <w:t>[21] ISO 20022</w:t>
      </w:r>
      <w:r>
        <w:rPr>
          <w:b w:val="0"/>
          <w:i w:val="0"/>
          <w:u w:val="none"/>
        </w:rPr>
        <w:t xml:space="preserve"> — Norma global para mensajes financieros (pagos, valores, comercio exterior).</w:t>
      </w:r>
    </w:p>
    <w:p>
      <w:pPr>
        <w:pStyle w:val="Heading2"/>
      </w:pPr>
      <w:r>
        <w:t>Web semántica y grafos abiertos</w:t>
      </w:r>
    </w:p>
    <w:p>
      <w:r>
        <w:rPr>
          <w:b/>
          <w:i w:val="0"/>
          <w:u w:val="none"/>
        </w:rPr>
        <w:t>[8] RDF</w:t>
      </w:r>
      <w:r>
        <w:rPr>
          <w:b w:val="0"/>
          <w:i w:val="0"/>
          <w:u w:val="none"/>
        </w:rPr>
        <w:t xml:space="preserve"> — </w:t>
      </w:r>
      <w:r>
        <w:rPr>
          <w:b w:val="0"/>
          <w:i/>
          <w:u w:val="none"/>
        </w:rPr>
        <w:t>Resource Description Framework</w:t>
      </w:r>
      <w:r>
        <w:rPr>
          <w:b w:val="0"/>
          <w:i w:val="0"/>
          <w:u w:val="none"/>
        </w:rPr>
        <w:t>. Recomendación W3C. &lt;https://www.w3.org/RDF&gt;</w:t>
      </w:r>
    </w:p>
    <w:p>
      <w:r>
        <w:rPr>
          <w:b/>
          <w:i w:val="0"/>
          <w:u w:val="none"/>
        </w:rPr>
        <w:t>[22] OWL</w:t>
      </w:r>
      <w:r>
        <w:rPr>
          <w:b w:val="0"/>
          <w:i w:val="0"/>
          <w:u w:val="none"/>
        </w:rPr>
        <w:t xml:space="preserve"> — </w:t>
      </w:r>
      <w:r>
        <w:rPr>
          <w:b w:val="0"/>
          <w:i/>
          <w:u w:val="none"/>
        </w:rPr>
        <w:t>Web Ontology Language</w:t>
      </w:r>
      <w:r>
        <w:rPr>
          <w:b w:val="0"/>
          <w:i w:val="0"/>
          <w:u w:val="none"/>
        </w:rPr>
        <w:t>. Recomendación W3C. &lt;https://www.w3.org/OWL&gt;</w:t>
      </w:r>
    </w:p>
    <w:p>
      <w:r>
        <w:rPr>
          <w:b/>
          <w:i w:val="0"/>
          <w:u w:val="none"/>
        </w:rPr>
        <w:t>[23] OpenIE</w:t>
      </w:r>
      <w:r>
        <w:rPr>
          <w:b w:val="0"/>
          <w:i w:val="0"/>
          <w:u w:val="none"/>
        </w:rPr>
        <w:t xml:space="preserve"> — Banko, M., Cafarella, M. J., Soderland, S., Broadhead, M. &amp; Etzioni, O. "Open Information Extraction from the Web." </w:t>
      </w:r>
      <w:r>
        <w:rPr>
          <w:b w:val="0"/>
          <w:i/>
          <w:u w:val="none"/>
        </w:rPr>
        <w:t>IJCAI</w:t>
      </w:r>
      <w:r>
        <w:rPr>
          <w:b w:val="0"/>
          <w:i w:val="0"/>
          <w:u w:val="none"/>
        </w:rPr>
        <w:t>, 2007. Origen de las técnicas de extracción de relaciones abierta.</w:t>
      </w:r>
    </w:p>
    <w:p>
      <w:r>
        <w:rPr>
          <w:b/>
          <w:i w:val="0"/>
          <w:u w:val="none"/>
        </w:rPr>
        <w:t>[31]</w:t>
      </w:r>
      <w:r>
        <w:rPr>
          <w:b w:val="0"/>
          <w:i w:val="0"/>
          <w:u w:val="none"/>
        </w:rPr>
        <w:t xml:space="preserve"> Berners-Lee, T., Hendler, J. &amp; Lassila, O. "The Semantic Web." </w:t>
      </w:r>
      <w:r>
        <w:rPr>
          <w:b w:val="0"/>
          <w:i/>
          <w:u w:val="none"/>
        </w:rPr>
        <w:t>Scientific American</w:t>
      </w:r>
      <w:r>
        <w:rPr>
          <w:b w:val="0"/>
          <w:i w:val="0"/>
          <w:u w:val="none"/>
        </w:rPr>
        <w:t>, mayo de 2001. Artículo programático que formuló la visión de la web semántica.</w:t>
      </w:r>
    </w:p>
    <w:p>
      <w:r>
        <w:rPr>
          <w:b/>
          <w:i w:val="0"/>
          <w:u w:val="none"/>
        </w:rPr>
        <w:t>[32] Wikidata</w:t>
      </w:r>
      <w:r>
        <w:rPr>
          <w:b w:val="0"/>
          <w:i w:val="0"/>
          <w:u w:val="none"/>
        </w:rPr>
        <w:t xml:space="preserve"> — Base de conocimiento colaborativa de la Fundación Wikimedia, sobre RDF. &lt;https://www.wikidata.org&gt;</w:t>
      </w:r>
    </w:p>
    <w:p>
      <w:r>
        <w:rPr>
          <w:b/>
          <w:i w:val="0"/>
          <w:u w:val="none"/>
        </w:rPr>
        <w:t>[33] DBpedia</w:t>
      </w:r>
      <w:r>
        <w:rPr>
          <w:b w:val="0"/>
          <w:i w:val="0"/>
          <w:u w:val="none"/>
        </w:rPr>
        <w:t xml:space="preserve"> — Extracción estructurada de información de Wikipedia. &lt;https://www.dbpedia.org&gt;</w:t>
      </w:r>
    </w:p>
    <w:p>
      <w:pPr>
        <w:pStyle w:val="Heading2"/>
      </w:pPr>
      <w:r>
        <w:t>5W1H operativo en computación</w:t>
      </w:r>
    </w:p>
    <w:p>
      <w:r>
        <w:rPr>
          <w:b/>
          <w:i w:val="0"/>
          <w:u w:val="none"/>
        </w:rPr>
        <w:t>[9]</w:t>
      </w:r>
      <w:r>
        <w:rPr>
          <w:b w:val="0"/>
          <w:i w:val="0"/>
          <w:u w:val="none"/>
        </w:rPr>
        <w:t xml:space="preserve"> Yang, X. &amp; Hu, J. Trabajos sobre extracción de información basada en 5W1H aplicados a representación de eventos. (Cita detallada en </w:t>
      </w:r>
      <w:r>
        <w:rPr>
          <w:rFonts w:ascii="Courier New" w:hAnsi="Courier New"/>
          <w:b w:val="0"/>
          <w:i w:val="0"/>
          <w:sz w:val="20"/>
          <w:u w:val="none"/>
        </w:rPr>
        <w:t>related/yang-hu-5w1h.md</w:t>
      </w:r>
      <w:r>
        <w:rPr>
          <w:b w:val="0"/>
          <w:i w:val="0"/>
          <w:u w:val="none"/>
        </w:rPr>
        <w:t>.)</w:t>
      </w:r>
    </w:p>
    <w:p>
      <w:r>
        <w:rPr>
          <w:b/>
          <w:i w:val="0"/>
          <w:u w:val="none"/>
        </w:rPr>
        <w:t>[10]</w:t>
      </w:r>
      <w:r>
        <w:rPr>
          <w:b w:val="0"/>
          <w:i w:val="0"/>
          <w:u w:val="none"/>
        </w:rPr>
        <w:t xml:space="preserve"> Mahmood, A. Representación de eventos sobre el esqueleto 5W1H. (Cita detallada en </w:t>
      </w:r>
      <w:r>
        <w:rPr>
          <w:rFonts w:ascii="Courier New" w:hAnsi="Courier New"/>
          <w:b w:val="0"/>
          <w:i w:val="0"/>
          <w:sz w:val="20"/>
          <w:u w:val="none"/>
        </w:rPr>
        <w:t>related/mahmood-5w1h-events.md</w:t>
      </w:r>
      <w:r>
        <w:rPr>
          <w:b w:val="0"/>
          <w:i w:val="0"/>
          <w:u w:val="none"/>
        </w:rPr>
        <w:t>.)</w:t>
      </w:r>
    </w:p>
    <w:p>
      <w:pPr>
        <w:pStyle w:val="Heading2"/>
      </w:pPr>
      <w:r>
        <w:t>Semántica formal y representación del conocimiento</w:t>
      </w:r>
    </w:p>
    <w:p>
      <w:r>
        <w:rPr>
          <w:b/>
          <w:i w:val="0"/>
          <w:u w:val="none"/>
        </w:rPr>
        <w:t>[11]</w:t>
      </w:r>
      <w:r>
        <w:rPr>
          <w:b w:val="0"/>
          <w:i w:val="0"/>
          <w:u w:val="none"/>
        </w:rPr>
        <w:t xml:space="preserve"> Barwise, J. &amp; Perry, J. </w:t>
      </w:r>
      <w:r>
        <w:rPr>
          <w:b w:val="0"/>
          <w:i/>
          <w:u w:val="none"/>
        </w:rPr>
        <w:t>Situations and Attitudes</w:t>
      </w:r>
      <w:r>
        <w:rPr>
          <w:b w:val="0"/>
          <w:i w:val="0"/>
          <w:u w:val="none"/>
        </w:rPr>
        <w:t>. MIT Press, 1983. Teoría matemática de la información situacional.</w:t>
      </w:r>
    </w:p>
    <w:p>
      <w:r>
        <w:rPr>
          <w:b/>
          <w:i w:val="0"/>
          <w:u w:val="none"/>
        </w:rPr>
        <w:t>[12]</w:t>
      </w:r>
      <w:r>
        <w:rPr>
          <w:b w:val="0"/>
          <w:i w:val="0"/>
          <w:u w:val="none"/>
        </w:rPr>
        <w:t xml:space="preserve"> Davidson, D. "The Logical Form of Action Sentences." En Rescher, N. (ed.), </w:t>
      </w:r>
      <w:r>
        <w:rPr>
          <w:b w:val="0"/>
          <w:i/>
          <w:u w:val="none"/>
        </w:rPr>
        <w:t>The Logic of Decision and Action</w:t>
      </w:r>
      <w:r>
        <w:rPr>
          <w:b w:val="0"/>
          <w:i w:val="0"/>
          <w:u w:val="none"/>
        </w:rPr>
        <w:t>. University of Pittsburgh Press, 1967. Origen de la semántica neo-davidsoniana de eventos.</w:t>
      </w:r>
    </w:p>
    <w:p>
      <w:r>
        <w:rPr>
          <w:b/>
          <w:i w:val="0"/>
          <w:u w:val="none"/>
        </w:rPr>
        <w:t>[13]</w:t>
      </w:r>
      <w:r>
        <w:rPr>
          <w:b w:val="0"/>
          <w:i w:val="0"/>
          <w:u w:val="none"/>
        </w:rPr>
        <w:t xml:space="preserve"> Gärdenfors, P. </w:t>
      </w:r>
      <w:r>
        <w:rPr>
          <w:b w:val="0"/>
          <w:i/>
          <w:u w:val="none"/>
        </w:rPr>
        <w:t>Conceptual Spaces: The Geometry of Thought</w:t>
      </w:r>
      <w:r>
        <w:rPr>
          <w:b w:val="0"/>
          <w:i w:val="0"/>
          <w:u w:val="none"/>
        </w:rPr>
        <w:t>. MIT Press, 2000.</w:t>
      </w:r>
    </w:p>
    <w:p>
      <w:r>
        <w:rPr>
          <w:b/>
          <w:i w:val="0"/>
          <w:u w:val="none"/>
        </w:rPr>
        <w:t>[24]</w:t>
      </w:r>
      <w:r>
        <w:rPr>
          <w:b w:val="0"/>
          <w:i w:val="0"/>
          <w:u w:val="none"/>
        </w:rPr>
        <w:t xml:space="preserve"> Fillmore, C. J. "The Case for Case." En Bach, E. &amp; Harms, R. T. (eds.), </w:t>
      </w:r>
      <w:r>
        <w:rPr>
          <w:b w:val="0"/>
          <w:i/>
          <w:u w:val="none"/>
        </w:rPr>
        <w:t>Universals in Linguistic Theory</w:t>
      </w:r>
      <w:r>
        <w:rPr>
          <w:b w:val="0"/>
          <w:i w:val="0"/>
          <w:u w:val="none"/>
        </w:rPr>
        <w:t>. Holt, Rinehart and Winston, 1968. Origen de la teoría de roles temáticos.</w:t>
      </w:r>
    </w:p>
    <w:p>
      <w:pPr>
        <w:pStyle w:val="Heading2"/>
      </w:pPr>
      <w:r>
        <w:t>Recursos léxicos</w:t>
      </w:r>
    </w:p>
    <w:p>
      <w:r>
        <w:rPr>
          <w:b/>
          <w:i w:val="0"/>
          <w:u w:val="none"/>
        </w:rPr>
        <w:t>[14] FrameNet</w:t>
      </w:r>
      <w:r>
        <w:rPr>
          <w:b w:val="0"/>
          <w:i w:val="0"/>
          <w:u w:val="none"/>
        </w:rPr>
        <w:t xml:space="preserve"> — Proyecto del International Computer Science Institute, Universidad de California, Berkeley. &lt;https://framenet.icsi.berkeley.edu&gt;</w:t>
      </w:r>
    </w:p>
    <w:p>
      <w:r>
        <w:rPr>
          <w:b/>
          <w:i w:val="0"/>
          <w:u w:val="none"/>
        </w:rPr>
        <w:t>[15] VerbNet</w:t>
      </w:r>
      <w:r>
        <w:rPr>
          <w:b w:val="0"/>
          <w:i w:val="0"/>
          <w:u w:val="none"/>
        </w:rPr>
        <w:t xml:space="preserve"> — Léxico de verbos del inglés organizado por clases de Levin. Universidad de Colorado, Boulder. &lt;https://verbs.colorado.edu/verbnet&gt;</w:t>
      </w:r>
    </w:p>
    <w:p>
      <w:pPr>
        <w:pStyle w:val="Heading2"/>
      </w:pPr>
      <w:r>
        <w:t>Extracción y modelado de relaciones</w:t>
      </w:r>
    </w:p>
    <w:p>
      <w:r>
        <w:rPr>
          <w:b/>
          <w:i w:val="0"/>
          <w:u w:val="none"/>
        </w:rPr>
        <w:t>[16]</w:t>
      </w:r>
      <w:r>
        <w:rPr>
          <w:b w:val="0"/>
          <w:i w:val="0"/>
          <w:u w:val="none"/>
        </w:rPr>
        <w:t xml:space="preserve"> Riedel, S., Yao, L., McCallum, A. &amp; Marlin, B. "Relation Extraction with Matrix Factorization and Universal Schemas." </w:t>
      </w:r>
      <w:r>
        <w:rPr>
          <w:b w:val="0"/>
          <w:i/>
          <w:u w:val="none"/>
        </w:rPr>
        <w:t>NAACL HLT</w:t>
      </w:r>
      <w:r>
        <w:rPr>
          <w:b w:val="0"/>
          <w:i w:val="0"/>
          <w:u w:val="none"/>
        </w:rPr>
        <w:t>, 2013.</w:t>
      </w:r>
    </w:p>
    <w:p>
      <w:pPr>
        <w:pStyle w:val="Heading2"/>
      </w:pPr>
      <w:r>
        <w:t>Psicolingüística y desarrollo</w:t>
      </w:r>
    </w:p>
    <w:p>
      <w:r>
        <w:rPr>
          <w:b/>
          <w:i w:val="0"/>
          <w:u w:val="none"/>
        </w:rPr>
        <w:t>[27]</w:t>
      </w:r>
      <w:r>
        <w:rPr>
          <w:b w:val="0"/>
          <w:i w:val="0"/>
          <w:u w:val="none"/>
        </w:rPr>
        <w:t xml:space="preserve"> Brown, R. </w:t>
      </w:r>
      <w:r>
        <w:rPr>
          <w:b w:val="0"/>
          <w:i/>
          <w:u w:val="none"/>
        </w:rPr>
        <w:t>A First Language: The Early Stages</w:t>
      </w:r>
      <w:r>
        <w:rPr>
          <w:b w:val="0"/>
          <w:i w:val="0"/>
          <w:u w:val="none"/>
        </w:rPr>
        <w:t>. Harvard University Press, 1973. Estudio longitudinal seminal sobre la adquisición del lenguaje en niños.</w:t>
      </w:r>
    </w:p>
    <w:p>
      <w:pPr>
        <w:pStyle w:val="Heading2"/>
      </w:pPr>
      <w:r>
        <w:t>Universales lingüísticos</w:t>
      </w:r>
    </w:p>
    <w:p>
      <w:r>
        <w:rPr>
          <w:b/>
          <w:i w:val="0"/>
          <w:u w:val="none"/>
        </w:rPr>
        <w:t>[28]</w:t>
      </w:r>
      <w:r>
        <w:rPr>
          <w:b w:val="0"/>
          <w:i w:val="0"/>
          <w:u w:val="none"/>
        </w:rPr>
        <w:t xml:space="preserve"> Wierzbicka, A. </w:t>
      </w:r>
      <w:r>
        <w:rPr>
          <w:b w:val="0"/>
          <w:i/>
          <w:u w:val="none"/>
        </w:rPr>
        <w:t>Semantic Primitives</w:t>
      </w:r>
      <w:r>
        <w:rPr>
          <w:b w:val="0"/>
          <w:i w:val="0"/>
          <w:u w:val="none"/>
        </w:rPr>
        <w:t xml:space="preserve"> (1972) y </w:t>
      </w:r>
      <w:r>
        <w:rPr>
          <w:b w:val="0"/>
          <w:i/>
          <w:u w:val="none"/>
        </w:rPr>
        <w:t>Semantics: Primes and Universals</w:t>
      </w:r>
      <w:r>
        <w:rPr>
          <w:b w:val="0"/>
          <w:i w:val="0"/>
          <w:u w:val="none"/>
        </w:rPr>
        <w:t xml:space="preserve"> (Oxford University Press, 1996). Programa del Natural Semantic Metalanguage: identifica primitivos semánticos compartidos por todas las lenguas humanas.</w:t>
      </w:r>
    </w:p>
    <w:p>
      <w:r>
        <w:rPr>
          <w:b/>
          <w:i w:val="0"/>
          <w:u w:val="none"/>
        </w:rPr>
        <w:t>[29]</w:t>
      </w:r>
      <w:r>
        <w:rPr>
          <w:b w:val="0"/>
          <w:i w:val="0"/>
          <w:u w:val="none"/>
        </w:rPr>
        <w:t xml:space="preserve"> Greenberg, J. H. (ed.). </w:t>
      </w:r>
      <w:r>
        <w:rPr>
          <w:b w:val="0"/>
          <w:i/>
          <w:u w:val="none"/>
        </w:rPr>
        <w:t>Universals of Human Language</w:t>
      </w:r>
      <w:r>
        <w:rPr>
          <w:b w:val="0"/>
          <w:i w:val="0"/>
          <w:u w:val="none"/>
        </w:rPr>
        <w:t xml:space="preserve"> (4 vols.). Stanford University Press, 1978. Marco fundacional del estudio comparado de universales lingüísticos.</w:t>
      </w:r>
    </w:p>
    <w:p>
      <w:pPr>
        <w:pStyle w:val="Heading2"/>
      </w:pPr>
      <w:r>
        <w:t>Bases de datos temporales</w:t>
      </w:r>
    </w:p>
    <w:p>
      <w:r>
        <w:rPr>
          <w:b/>
          <w:i w:val="0"/>
          <w:u w:val="none"/>
        </w:rPr>
        <w:t>[17]</w:t>
      </w:r>
      <w:r>
        <w:rPr>
          <w:b w:val="0"/>
          <w:i w:val="0"/>
          <w:u w:val="none"/>
        </w:rPr>
        <w:t xml:space="preserve"> Snodgrass, R. T. </w:t>
      </w:r>
      <w:r>
        <w:rPr>
          <w:b w:val="0"/>
          <w:i/>
          <w:u w:val="none"/>
        </w:rPr>
        <w:t>Developing Time-Oriented Database Applications in SQL</w:t>
      </w:r>
      <w:r>
        <w:rPr>
          <w:b w:val="0"/>
          <w:i w:val="0"/>
          <w:u w:val="none"/>
        </w:rPr>
        <w:t>. Morgan Kaufmann, 1999. Fundamento del modelado bitemporal.</w:t>
      </w:r>
    </w:p>
    <w:p>
      <w:pPr>
        <w:pStyle w:val="Heading2"/>
      </w:pPr>
      <w:r>
        <w:t>Unidades de medida</w:t>
      </w:r>
    </w:p>
    <w:p>
      <w:r>
        <w:rPr>
          <w:b/>
          <w:i w:val="0"/>
          <w:u w:val="none"/>
        </w:rPr>
        <w:t>[18] QUDT</w:t>
      </w:r>
      <w:r>
        <w:rPr>
          <w:b w:val="0"/>
          <w:i w:val="0"/>
          <w:u w:val="none"/>
        </w:rPr>
        <w:t xml:space="preserve"> — </w:t>
      </w:r>
      <w:r>
        <w:rPr>
          <w:b w:val="0"/>
          <w:i/>
          <w:u w:val="none"/>
        </w:rPr>
        <w:t>Quantities, Units, Dimensions and Types Ontology</w:t>
      </w:r>
      <w:r>
        <w:rPr>
          <w:b w:val="0"/>
          <w:i w:val="0"/>
          <w:u w:val="none"/>
        </w:rPr>
        <w:t>. &lt;https://www.qudt.org&gt;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