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1" name="Picture 1"/>
            <wp:cNvGraphicFramePr>
              <a:graphicFrameLocks noChangeAspect="1"/>
            </wp:cNvGraphicFramePr>
            <a:graphic>
              <a:graphicData uri="http://schemas.openxmlformats.org/drawingml/2006/picture">
                <pic:pic>
                  <pic:nvPicPr>
                    <pic:cNvPr id="0" name="07_oracion_marta.png"/>
                    <pic:cNvPicPr/>
                  </pic:nvPicPr>
                  <pic:blipFill>
                    <a:blip r:embed="rId9"/>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2" name="Picture 2"/>
            <wp:cNvGraphicFramePr>
              <a:graphicFrameLocks noChangeAspect="1"/>
            </wp:cNvGraphicFramePr>
            <a:graphic>
              <a:graphicData uri="http://schemas.openxmlformats.org/drawingml/2006/picture">
                <pic:pic>
                  <pic:nvPicPr>
                    <pic:cNvPr id="0" name="08_coche_autolavado.png"/>
                    <pic:cNvPicPr/>
                  </pic:nvPicPr>
                  <pic:blipFill>
                    <a:blip r:embed="rId10"/>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