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 name="Picture 1"/>
            <wp:cNvGraphicFramePr>
              <a:graphicFrameLocks noChangeAspect="1"/>
            </wp:cNvGraphicFramePr>
            <a:graphic>
              <a:graphicData uri="http://schemas.openxmlformats.org/drawingml/2006/picture">
                <pic:pic>
                  <pic:nvPicPr>
                    <pic:cNvPr id="0" name="13_hecho_atomico.png"/>
                    <pic:cNvPicPr/>
                  </pic:nvPicPr>
                  <pic:blipFill>
                    <a:blip r:embed="rId9"/>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2" name="Picture 2"/>
            <wp:cNvGraphicFramePr>
              <a:graphicFrameLocks noChangeAspect="1"/>
            </wp:cNvGraphicFramePr>
            <a:graphic>
              <a:graphicData uri="http://schemas.openxmlformats.org/drawingml/2006/picture">
                <pic:pic>
                  <pic:nvPicPr>
                    <pic:cNvPr id="0" name="14_evento_reificado.png"/>
                    <pic:cNvPicPr/>
                  </pic:nvPicPr>
                  <pic:blipFill>
                    <a:blip r:embed="rId10"/>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