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3" name="Picture 33"/>
            <wp:cNvGraphicFramePr>
              <a:graphicFrameLocks noChangeAspect="1"/>
            </wp:cNvGraphicFramePr>
            <a:graphic>
              <a:graphicData uri="http://schemas.openxmlformats.org/drawingml/2006/picture">
                <pic:pic>
                  <pic:nvPicPr>
                    <pic:cNvPr id="0" name="33_cuatro_dominios.png"/>
                    <pic:cNvPicPr/>
                  </pic:nvPicPr>
                  <pic:blipFill>
                    <a:blip r:embed="rId41"/>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4" name="Picture 34"/>
            <wp:cNvGraphicFramePr>
              <a:graphicFrameLocks noChangeAspect="1"/>
            </wp:cNvGraphicFramePr>
            <a:graphic>
              <a:graphicData uri="http://schemas.openxmlformats.org/drawingml/2006/picture">
                <pic:pic>
                  <pic:nvPicPr>
                    <pic:cNvPr id="0" name="34_plantilla_instancia.png"/>
                    <pic:cNvPicPr/>
                  </pic:nvPicPr>
                  <pic:blipFill>
                    <a:blip r:embed="rId42"/>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