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 name="Picture 1"/>
            <wp:cNvGraphicFramePr>
              <a:graphicFrameLocks noChangeAspect="1"/>
            </wp:cNvGraphicFramePr>
            <a:graphic>
              <a:graphicData uri="http://schemas.openxmlformats.org/drawingml/2006/picture">
                <pic:pic>
                  <pic:nvPicPr>
                    <pic:cNvPr id="0" name="17_situacion_reificada.png"/>
                    <pic:cNvPicPr/>
                  </pic:nvPicPr>
                  <pic:blipFill>
                    <a:blip r:embed="rId9"/>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2" name="Picture 2"/>
            <wp:cNvGraphicFramePr>
              <a:graphicFrameLocks noChangeAspect="1"/>
            </wp:cNvGraphicFramePr>
            <a:graphic>
              <a:graphicData uri="http://schemas.openxmlformats.org/drawingml/2006/picture">
                <pic:pic>
                  <pic:nvPicPr>
                    <pic:cNvPr id="0" name="18_d9_vigencia.png"/>
                    <pic:cNvPicPr/>
                  </pic:nvPicPr>
                  <pic:blipFill>
                    <a:blip r:embed="rId10"/>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