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20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1" name="Picture 1"/>
            <wp:cNvGraphicFramePr>
              <a:graphicFrameLocks noChangeAspect="1"/>
            </wp:cNvGraphicFramePr>
            <a:graphic>
              <a:graphicData uri="http://schemas.openxmlformats.org/drawingml/2006/picture">
                <pic:pic>
                  <pic:nvPicPr>
                    <pic:cNvPr id="0" name="35_pipeline_llm.png"/>
                    <pic:cNvPicPr/>
                  </pic:nvPicPr>
                  <pic:blipFill>
                    <a:blip r:embed="rId9"/>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2" name="Picture 2"/>
            <wp:cNvGraphicFramePr>
              <a:graphicFrameLocks noChangeAspect="1"/>
            </wp:cNvGraphicFramePr>
            <a:graphic>
              <a:graphicData uri="http://schemas.openxmlformats.org/drawingml/2006/picture">
                <pic:pic>
                  <pic:nvPicPr>
                    <pic:cNvPr id="0" name="36_lexicon_function_schema.png"/>
                    <pic:cNvPicPr/>
                  </pic:nvPicPr>
                  <pic:blipFill>
                    <a:blip r:embed="rId10"/>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22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21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