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2B5C"/>
          </w:tcPr>
          <w:p>
            <w:r/>
          </w:p>
        </w:tc>
      </w:tr>
    </w:tbl>
    <w:p/>
    <w:p/>
    <w:p>
      <w:pPr>
        <w:jc w:val="center"/>
      </w:pPr>
      <w:r>
        <w:rPr>
          <w:rFonts w:ascii="Calibri" w:hAnsi="Calibri"/>
          <w:b/>
          <w:color w:val="002B5C"/>
          <w:sz w:val="56"/>
        </w:rPr>
        <w:t>ESPECIFICAÇÃO DE REQUISITOS</w:t>
        <w:br/>
        <w:t>DE HARDWARE E SOFTWARE</w:t>
      </w:r>
    </w:p>
    <w:p/>
    <w:p>
      <w:pPr>
        <w:jc w:val="center"/>
      </w:pPr>
      <w:r>
        <w:rPr>
          <w:rFonts w:ascii="Calibri" w:hAnsi="Calibri"/>
          <w:color w:val="005699"/>
          <w:sz w:val="28"/>
        </w:rPr>
        <w:t>Preparação de Ambiente para APIs, Backend e Banco de Dados</w:t>
        <w:br/>
        <w:t>Ambiente Industrial — Integração com Rede de Automação (TA)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02B5C"/>
                <w:sz w:val="22"/>
              </w:rPr>
              <w:t>Documento: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22"/>
              </w:rPr>
              <w:t>REQ-INFRA-001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02B5C"/>
                <w:sz w:val="22"/>
              </w:rPr>
              <w:t>Versão: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22"/>
              </w:rPr>
              <w:t>1.0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02B5C"/>
                <w:sz w:val="22"/>
              </w:rPr>
              <w:t>Classificação: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22"/>
              </w:rPr>
              <w:t>Confidencial — Uso Restrito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02B5C"/>
                <w:sz w:val="22"/>
              </w:rPr>
              <w:t>Data: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22"/>
              </w:rPr>
              <w:t>08/04/2026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02B5C"/>
                <w:sz w:val="22"/>
              </w:rPr>
              <w:t>Padrões: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22"/>
              </w:rPr>
              <w:t>ISO/IEC 25010 · ISO/IEC 27001 · IEC 62443 · ISA-95 · ANSI/TIA-942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2B5C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Controle do Documento</w:t>
      </w:r>
    </w:p>
    <w:p>
      <w:pPr>
        <w:pStyle w:val="Heading2"/>
      </w:pPr>
      <w:r>
        <w:rPr>
          <w:rFonts w:ascii="Calibri" w:hAnsi="Calibri"/>
          <w:color w:val="002B5C"/>
        </w:rPr>
        <w:t>Histórico de Revisões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255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685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Descrição da Alteração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0.1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—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Equipe de Engenharia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Rascunho inicial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1.0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08/04/2026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Equipe de Engenharia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Primeira versão aprovada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B5C"/>
        </w:rPr>
        <w:t>Aprovações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Papel</w:t>
            </w:r>
          </w:p>
        </w:tc>
        <w:tc>
          <w:tcPr>
            <w:tcW w:type="dxa" w:w="226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226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Assinatura</w:t>
            </w:r>
          </w:p>
        </w:tc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Data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Gerente de Projeto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Arquiteto de Soluções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Responsável TI 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Responsável TA Cliente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B5C"/>
        </w:rPr>
        <w:t>Distribuição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Destinatário</w:t>
            </w:r>
          </w:p>
        </w:tc>
        <w:tc>
          <w:tcPr>
            <w:tcW w:type="dxa" w:w="2835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Organização</w:t>
            </w:r>
          </w:p>
        </w:tc>
        <w:tc>
          <w:tcPr>
            <w:tcW w:type="dxa" w:w="3969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Equipe de TI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Preparação de infraestrutura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Equipe de TA/Automação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</w:t>
            </w:r>
          </w:p>
        </w:tc>
        <w:tc>
          <w:tcPr>
            <w:tcW w:type="dxa" w:w="3969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Configuração de rede de campo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Gerência de Projeto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Fornecedor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Referência técnica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Sumário</w:t>
      </w:r>
    </w:p>
    <w:p>
      <w:pPr>
        <w:ind w:left="0"/>
      </w:pPr>
      <w:r>
        <w:rPr>
          <w:rFonts w:ascii="Calibri" w:hAnsi="Calibri"/>
          <w:color w:val="005699"/>
          <w:sz w:val="22"/>
        </w:rPr>
        <w:t>1. Objetivo e Escopo</w:t>
      </w:r>
    </w:p>
    <w:p>
      <w:pPr>
        <w:ind w:left="0"/>
      </w:pPr>
      <w:r>
        <w:rPr>
          <w:rFonts w:ascii="Calibri" w:hAnsi="Calibri"/>
          <w:color w:val="005699"/>
          <w:sz w:val="22"/>
        </w:rPr>
        <w:t>2. Referências Normativas</w:t>
      </w:r>
    </w:p>
    <w:p>
      <w:pPr>
        <w:ind w:left="0"/>
      </w:pPr>
      <w:r>
        <w:rPr>
          <w:rFonts w:ascii="Calibri" w:hAnsi="Calibri"/>
          <w:color w:val="005699"/>
          <w:sz w:val="22"/>
        </w:rPr>
        <w:t>3. Definições, Abreviações e Terminologia</w:t>
      </w:r>
    </w:p>
    <w:p>
      <w:pPr>
        <w:ind w:left="0"/>
      </w:pPr>
      <w:r>
        <w:rPr>
          <w:rFonts w:ascii="Calibri" w:hAnsi="Calibri"/>
          <w:color w:val="005699"/>
          <w:sz w:val="22"/>
        </w:rPr>
        <w:t>4. Visão Geral da Arquitetura</w:t>
      </w:r>
    </w:p>
    <w:p>
      <w:pPr>
        <w:ind w:left="0"/>
      </w:pPr>
      <w:r>
        <w:rPr>
          <w:rFonts w:ascii="Calibri" w:hAnsi="Calibri"/>
          <w:color w:val="005699"/>
          <w:sz w:val="22"/>
        </w:rPr>
        <w:t>5. Diagrama de Rede</w:t>
      </w:r>
    </w:p>
    <w:p>
      <w:pPr>
        <w:ind w:left="0"/>
      </w:pPr>
      <w:r>
        <w:rPr>
          <w:rFonts w:ascii="Calibri" w:hAnsi="Calibri"/>
          <w:color w:val="005699"/>
          <w:sz w:val="22"/>
        </w:rPr>
        <w:t>6. Requisitos de Hardware</w:t>
      </w:r>
    </w:p>
    <w:p>
      <w:pPr>
        <w:ind w:left="720"/>
      </w:pPr>
      <w:r>
        <w:rPr>
          <w:rFonts w:ascii="Calibri" w:hAnsi="Calibri"/>
          <w:color w:val="333333"/>
          <w:sz w:val="22"/>
        </w:rPr>
        <w:t>6.1 Opção A — Máquinas Virtuais (Hyper-V / VMware)</w:t>
      </w:r>
    </w:p>
    <w:p>
      <w:pPr>
        <w:ind w:left="720"/>
      </w:pPr>
      <w:r>
        <w:rPr>
          <w:rFonts w:ascii="Calibri" w:hAnsi="Calibri"/>
          <w:color w:val="333333"/>
          <w:sz w:val="22"/>
        </w:rPr>
        <w:t>6.2 Opção B — Máquinas Físicas (Bare-Metal)</w:t>
      </w:r>
    </w:p>
    <w:p>
      <w:pPr>
        <w:ind w:left="0"/>
      </w:pPr>
      <w:r>
        <w:rPr>
          <w:rFonts w:ascii="Calibri" w:hAnsi="Calibri"/>
          <w:color w:val="005699"/>
          <w:sz w:val="22"/>
        </w:rPr>
        <w:t>7. Requisitos de Software</w:t>
      </w:r>
    </w:p>
    <w:p>
      <w:pPr>
        <w:ind w:left="720"/>
      </w:pPr>
      <w:r>
        <w:rPr>
          <w:rFonts w:ascii="Calibri" w:hAnsi="Calibri"/>
          <w:color w:val="333333"/>
          <w:sz w:val="22"/>
        </w:rPr>
        <w:t>7.1 Servidor de Banco de Dados</w:t>
      </w:r>
    </w:p>
    <w:p>
      <w:pPr>
        <w:ind w:left="720"/>
      </w:pPr>
      <w:r>
        <w:rPr>
          <w:rFonts w:ascii="Calibri" w:hAnsi="Calibri"/>
          <w:color w:val="333333"/>
          <w:sz w:val="22"/>
        </w:rPr>
        <w:t>7.2 Servidor de APIs / Backend</w:t>
      </w:r>
    </w:p>
    <w:p>
      <w:pPr>
        <w:ind w:left="0"/>
      </w:pPr>
      <w:r>
        <w:rPr>
          <w:rFonts w:ascii="Calibri" w:hAnsi="Calibri"/>
          <w:color w:val="005699"/>
          <w:sz w:val="22"/>
        </w:rPr>
        <w:t>8. Requisitos de Rede</w:t>
      </w:r>
    </w:p>
    <w:p>
      <w:pPr>
        <w:ind w:left="0"/>
      </w:pPr>
      <w:r>
        <w:rPr>
          <w:rFonts w:ascii="Calibri" w:hAnsi="Calibri"/>
          <w:color w:val="005699"/>
          <w:sz w:val="22"/>
        </w:rPr>
        <w:t>9. Requisitos de Segurança</w:t>
      </w:r>
    </w:p>
    <w:p>
      <w:pPr>
        <w:ind w:left="0"/>
      </w:pPr>
      <w:r>
        <w:rPr>
          <w:rFonts w:ascii="Calibri" w:hAnsi="Calibri"/>
          <w:color w:val="005699"/>
          <w:sz w:val="22"/>
        </w:rPr>
        <w:t>10. Requisitos de Backup e Recuperação</w:t>
      </w:r>
    </w:p>
    <w:p>
      <w:pPr>
        <w:ind w:left="0"/>
      </w:pPr>
      <w:r>
        <w:rPr>
          <w:rFonts w:ascii="Calibri" w:hAnsi="Calibri"/>
          <w:color w:val="005699"/>
          <w:sz w:val="22"/>
        </w:rPr>
        <w:t>11. Requisitos de Monitoramento</w:t>
      </w:r>
    </w:p>
    <w:p>
      <w:pPr>
        <w:ind w:left="0"/>
      </w:pPr>
      <w:r>
        <w:rPr>
          <w:rFonts w:ascii="Calibri" w:hAnsi="Calibri"/>
          <w:color w:val="005699"/>
          <w:sz w:val="22"/>
        </w:rPr>
        <w:t>12. Cronograma de Preparação Sugerido</w:t>
      </w:r>
    </w:p>
    <w:p>
      <w:pPr>
        <w:ind w:left="0"/>
      </w:pPr>
      <w:r>
        <w:rPr>
          <w:rFonts w:ascii="Calibri" w:hAnsi="Calibri"/>
          <w:color w:val="005699"/>
          <w:sz w:val="22"/>
        </w:rPr>
        <w:t>13. Checklist de Validação de Ambiente</w:t>
      </w:r>
    </w:p>
    <w:p>
      <w:pPr>
        <w:ind w:left="0"/>
      </w:pPr>
      <w:r>
        <w:rPr>
          <w:rFonts w:ascii="Calibri" w:hAnsi="Calibri"/>
          <w:color w:val="005699"/>
          <w:sz w:val="22"/>
        </w:rPr>
        <w:t>Anexo A — Diagrama de Rede Detalhado</w:t>
      </w:r>
    </w:p>
    <w:p>
      <w:pPr>
        <w:ind w:left="0"/>
      </w:pPr>
      <w:r>
        <w:rPr>
          <w:rFonts w:ascii="Calibri" w:hAnsi="Calibri"/>
          <w:color w:val="005699"/>
          <w:sz w:val="22"/>
        </w:rPr>
        <w:t>Anexo B — Matriz de Portas e Protocolos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1. Objetivo e Escopo</w:t>
      </w:r>
    </w:p>
    <w:p>
      <w:r>
        <w:rPr>
          <w:sz w:val="22"/>
        </w:rPr>
        <w:t>Este documento especifica os requisitos mínimos de hardware, software e rede necessários para a implantação do sistema de APIs, backend e banco de dados em ambiente industrial do cliente. O objetivo é permitir que a equipe de TI e TA (Tecnologia de Automação) do cliente prepare a infraestrutura antes da fase de implantação (deploy) do projeto.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/>
          </w:tcPr>
          <w:p>
            <w:r/>
            <w:r>
              <w:rPr>
                <w:rFonts w:ascii="Calibri" w:hAnsi="Calibri"/>
                <w:color w:val="002B5C"/>
                <w:sz w:val="20"/>
              </w:rPr>
              <w:t>⚠ IMPORTANTE: Este documento requer aprovação das equipes de TI e TA do cliente antes do início da preparação do ambiente. Qualquer desvio dos requisitos aqui especificados deve ser previamente acordado com a equipe de engenharia do fornecedor.</w:t>
            </w:r>
          </w:p>
        </w:tc>
      </w:tr>
    </w:tbl>
    <w:p/>
    <w:p>
      <w:r>
        <w:rPr>
          <w:b/>
          <w:color w:val="002B5C"/>
          <w:sz w:val="22"/>
        </w:rPr>
        <w:t>Escopo da Infraestrutura: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Topologia: </w:t>
      </w:r>
      <w:r>
        <w:rPr>
          <w:rFonts w:ascii="Calibri" w:hAnsi="Calibri"/>
          <w:color w:val="333333"/>
          <w:sz w:val="22"/>
        </w:rPr>
        <w:t>02 (duas) máquinas/VMs dedicadas exclusivamente para o projeto</w:t>
      </w:r>
    </w:p>
    <w:p>
      <w:pPr>
        <w:pStyle w:val="ListBullet"/>
        <w:ind w:left="1077"/>
      </w:pPr>
      <w:r>
        <w:rPr>
          <w:rFonts w:ascii="Calibri" w:hAnsi="Calibri"/>
          <w:color w:val="333333"/>
          <w:sz w:val="22"/>
        </w:rPr>
        <w:t>Servidor 1 — Banco de Dados (PostgreSQL preferencialmente ou SQL Server)</w:t>
      </w:r>
    </w:p>
    <w:p>
      <w:pPr>
        <w:pStyle w:val="ListBullet"/>
        <w:ind w:left="1077"/>
      </w:pPr>
      <w:r>
        <w:rPr>
          <w:rFonts w:ascii="Calibri" w:hAnsi="Calibri"/>
          <w:color w:val="333333"/>
          <w:sz w:val="22"/>
        </w:rPr>
        <w:t>Servidor 2 — APIs e Backend (aplicações Node.js/serviços)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Modalidade: </w:t>
      </w:r>
      <w:r>
        <w:rPr>
          <w:rFonts w:ascii="Calibri" w:hAnsi="Calibri"/>
          <w:color w:val="333333"/>
          <w:sz w:val="22"/>
        </w:rPr>
        <w:t>On-premise (data center do cliente) ou virtualizado (Hyper-V/VMware)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S.O. Prioritário: </w:t>
      </w:r>
      <w:r>
        <w:rPr>
          <w:rFonts w:ascii="Calibri" w:hAnsi="Calibri"/>
          <w:color w:val="333333"/>
          <w:sz w:val="22"/>
        </w:rPr>
        <w:t>Linux (Ubuntu Server LTS ou RHEL) como sistema operacional prioritário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Integração TA: </w:t>
      </w:r>
      <w:r>
        <w:rPr>
          <w:rFonts w:ascii="Calibri" w:hAnsi="Calibri"/>
          <w:color w:val="333333"/>
          <w:sz w:val="22"/>
        </w:rPr>
        <w:t>O servidor de APIs deve ter conectividade com a rede de automação (TA) para comunicação com PLCs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2. Referências Normativas</w:t>
      </w:r>
    </w:p>
    <w:p>
      <w:r>
        <w:t>Este documento foi elaborado em conformidade com as seguintes normas e padrões: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Norma / Padrão</w:t>
            </w:r>
          </w:p>
        </w:tc>
        <w:tc>
          <w:tcPr>
            <w:tcW w:type="dxa" w:w="6520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ISO/IEC 25010:2023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Engenharia de Sistemas e Software — Requisitos e avaliação de qualidade de produto</w:t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ISO/IEC 27001:2022</w:t>
            </w:r>
          </w:p>
        </w:tc>
        <w:tc>
          <w:tcPr>
            <w:tcW w:type="dxa" w:w="652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Segurança da informação — Sistemas de gestão de segurança da informação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ISO/IEC 27002:2022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Controles de segurança da informação</w:t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IEC 62443</w:t>
            </w:r>
          </w:p>
        </w:tc>
        <w:tc>
          <w:tcPr>
            <w:tcW w:type="dxa" w:w="652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Segurança cibernética para sistemas de automação e controle industrial (IACS)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ISA-95 (IEC 62264)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Integração de sistemas corporativos e de controle — Modelo de referência de níveis</w:t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ISA-99</w:t>
            </w:r>
          </w:p>
        </w:tc>
        <w:tc>
          <w:tcPr>
            <w:tcW w:type="dxa" w:w="652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Segurança de sistemas de automação e controle industrial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ANSI/TIA-942-B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Infraestrutura de telecomunicações para data centers</w:t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IEEE 802.3</w:t>
            </w:r>
          </w:p>
        </w:tc>
        <w:tc>
          <w:tcPr>
            <w:tcW w:type="dxa" w:w="652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Padrões Ethernet para redes industriais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IEC 61131-3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Linguagens de programação para controladores programáveis (referência PLC)</w:t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NIST SP 800-82</w:t>
            </w:r>
          </w:p>
        </w:tc>
        <w:tc>
          <w:tcPr>
            <w:tcW w:type="dxa" w:w="652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Guia para segurança de sistemas de controle industrial (ICS)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ISO 22301:2019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Gestão de continuidade de negócios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3. Definições, Abreviações e Terminologia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Termo / Abreviação</w:t>
            </w:r>
          </w:p>
        </w:tc>
        <w:tc>
          <w:tcPr>
            <w:tcW w:type="dxa" w:w="6803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API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Application Programming Interface — Interface de programação de aplicações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Backend</w:t>
            </w:r>
          </w:p>
        </w:tc>
        <w:tc>
          <w:tcPr>
            <w:tcW w:type="dxa" w:w="6803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Camada servidor responsável pela lógica de negócio e processamento de dados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DBMS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Database Management System — Sistema de gerenciamento de banco de dados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DMZ</w:t>
            </w:r>
          </w:p>
        </w:tc>
        <w:tc>
          <w:tcPr>
            <w:tcW w:type="dxa" w:w="6803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Demilitarized Zone — Zona desmilitarizada de rede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Hyper-V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Plataforma de virtualização da Microsoft para criação de máquinas virtuais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IACS</w:t>
            </w:r>
          </w:p>
        </w:tc>
        <w:tc>
          <w:tcPr>
            <w:tcW w:type="dxa" w:w="6803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Industrial Automation and Control Systems — Sistemas de automação e controle industrial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ISA-95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Modelo de referência que define cinco níveis de integração entre TI e TA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LTS</w:t>
            </w:r>
          </w:p>
        </w:tc>
        <w:tc>
          <w:tcPr>
            <w:tcW w:type="dxa" w:w="6803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Long Term Support — Versão de suporte de longo prazo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On-premise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Infraestrutura hospedada localmente no data center do cliente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PLC</w:t>
            </w:r>
          </w:p>
        </w:tc>
        <w:tc>
          <w:tcPr>
            <w:tcW w:type="dxa" w:w="6803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Programmable Logic Controller — Controlador lógico programável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TI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de Tecnologia da Informação — nível corporativo (ISA-95 Nível 4-5)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TA</w:t>
            </w:r>
          </w:p>
        </w:tc>
        <w:tc>
          <w:tcPr>
            <w:tcW w:type="dxa" w:w="6803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de Tecnologia de Automação — nível de campo e controle (ISA-95 Nível 0-2)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SGBD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Sistema Gerenciador de Banco de Dados (equivalente a DBMS em PT)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VM</w:t>
            </w:r>
          </w:p>
        </w:tc>
        <w:tc>
          <w:tcPr>
            <w:tcW w:type="dxa" w:w="6803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Virtual Machine — Máquina virtual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vCPU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CPU virtual alocada para uma máquina virtual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4. Visão Geral da Arquitetura</w:t>
      </w:r>
    </w:p>
    <w:p>
      <w:r>
        <w:t>A arquitetura proposta segue o modelo ISA-95 (IEC 62264) de segregação de níveis, garantindo a separação entre a rede corporativa (TI) e a rede de automação (TA), com uma zona intermediária (DMZ Industrial) para comunicação controlada.</w:t>
      </w:r>
    </w:p>
    <w:p/>
    <w:p>
      <w:pPr>
        <w:pStyle w:val="Heading2"/>
      </w:pPr>
      <w:r>
        <w:rPr>
          <w:rFonts w:ascii="Calibri" w:hAnsi="Calibri"/>
          <w:color w:val="002B5C"/>
        </w:rPr>
        <w:t>4.1 Modelo de Níveis ISA-95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Nível ISA-95</w:t>
            </w:r>
          </w:p>
        </w:tc>
        <w:tc>
          <w:tcPr>
            <w:tcW w:type="dxa" w:w="226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5102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Componentes Típicos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Nível 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Corporativa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ERP, e-mail, internet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Nível 4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de TI</w:t>
            </w:r>
          </w:p>
        </w:tc>
        <w:tc>
          <w:tcPr>
            <w:tcW w:type="dxa" w:w="510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Servidores corporativos, AD, DNS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Nível 3.5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DMZ Industrial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★ Servidor de APIs/Backend + Servidor de BD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Nível 3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de Operação</w:t>
            </w:r>
          </w:p>
        </w:tc>
        <w:tc>
          <w:tcPr>
            <w:tcW w:type="dxa" w:w="510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SCADA, HMI, Historiador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Nível 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de Controle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PLCs, RTUs, Controladores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Nível 1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de Campo</w:t>
            </w:r>
          </w:p>
        </w:tc>
        <w:tc>
          <w:tcPr>
            <w:tcW w:type="dxa" w:w="510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Sensores, atuadores, I/O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Nível 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Processo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Equipamentos de processo</w:t>
            </w:r>
          </w:p>
        </w:tc>
      </w:tr>
    </w:tbl>
    <w:p/>
    <w:p>
      <w:r>
        <w:rPr>
          <w:sz w:val="22"/>
        </w:rPr>
        <w:t>O servidor de APIs/Backend (Servidor 2) será posicionado na DMZ Industrial (Nível 3.5) com acesso controlado tanto à rede de TI quanto à rede de TA, permitindo a comunicação com os PLCs na rede de controle (Nível 2).</w:t>
      </w:r>
    </w:p>
    <w:p/>
    <w:p>
      <w:pPr>
        <w:pStyle w:val="Heading2"/>
      </w:pPr>
      <w:r>
        <w:rPr>
          <w:rFonts w:ascii="Calibri" w:hAnsi="Calibri"/>
          <w:color w:val="002B5C"/>
        </w:rPr>
        <w:t>4.2 Topologia de Servidores</w:t>
      </w:r>
    </w:p>
    <w:p>
      <w:r>
        <w:rPr>
          <w:sz w:val="22"/>
        </w:rPr>
        <w:t>A solução requer duas máquinas dedicadas com as seguintes funções: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Identificação</w:t>
            </w:r>
          </w:p>
        </w:tc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402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26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Posição na Rede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Servidor 1</w:t>
              <w:br/>
              <w:t>(SRV-DB)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Banco de Dados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Hospeda a instância do PostgreSQL (prioritário)</w:t>
              <w:br/>
              <w:t>ou SQL Server como alternativa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TI / DMZ Industrial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Servidor 2</w:t>
              <w:br/>
              <w:t>(SRV-API)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APIs e Backend</w:t>
            </w:r>
          </w:p>
        </w:tc>
        <w:tc>
          <w:tcPr>
            <w:tcW w:type="dxa" w:w="340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Hospeda as aplicações de backend,</w:t>
              <w:br/>
              <w:t>serviços REST/gRPC e middleware de</w:t>
              <w:br/>
              <w:t>comunicação com PLCs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DMZ Industrial</w:t>
              <w:br/>
              <w:t>+ Acesso à Rede 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5. Diagrama de Rede</w:t>
      </w:r>
    </w:p>
    <w:p>
      <w:r>
        <w:t>O diagrama abaixo ilustra a topologia de rede proposta, demonstrando a posição dos servidores e a comunicação entre as redes de TI e TA conforme o modelo ISA-95.</w:t>
      </w:r>
    </w:p>
    <w:p/>
    <w:p>
      <w:pPr>
        <w:jc w:val="left"/>
      </w:pPr>
      <w:r>
        <w:rPr>
          <w:rFonts w:ascii="Consolas" w:hAnsi="Consolas"/>
          <w:color w:val="002B5C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REDE CORPORATIVA (TI)                                │</w:t>
        <w:br/>
        <w:t>│                          ISA-95 — Nível 4 / 5                                  │</w:t>
        <w:br/>
        <w:t>│                                                                                 │</w:t>
        <w:br/>
        <w:t>│    ┌──────────────┐    ┌──────────────┐    ┌──────────────┐                    │</w:t>
        <w:br/>
        <w:t>│    │   Estações    │    │   Servidor   │    │   Gateway /  │                    │</w:t>
        <w:br/>
        <w:t>│    │  de Trabalho  │    │  AD / DNS    │    │   Firewall   │                    │</w:t>
        <w:br/>
        <w:t>│    └──────┬───────┘    └──────┬───────┘    └──────┬───────┘                    │</w:t>
        <w:br/>
        <w:t>│           │                   │                    │                            │</w:t>
        <w:br/>
        <w:t>│           └───────────────────┼────────────────────┘                            │</w:t>
        <w:br/>
        <w:t>│                               │                                                 │</w:t>
        <w:br/>
        <w:t>│                    ╔══════════╧══════════╗                                      │</w:t>
        <w:br/>
        <w:t>│                    ║   Switch L3 / VLAN  ║                                      │</w:t>
        <w:br/>
        <w:t>│                    ╚══════════╤══════════╝                                      │</w:t>
        <w:br/>
        <w:t>│                               │                                                 │</w:t>
        <w:br/>
        <w:t>├───────────────────────────────┼─────────────────────────────────────────────────┤</w:t>
        <w:br/>
        <w:t>│                     FIREWALL INDUSTRIAL                                         │</w:t>
        <w:br/>
        <w:t>│              (IEC 62443 — Segmentação de Zonas)                                │</w:t>
        <w:br/>
        <w:t>├───────────────────────────────┼─────────────────────────────────────────────────┤</w:t>
        <w:br/>
        <w:t>│                                                                                 │</w:t>
        <w:br/>
        <w:t>│                    DMZ INDUSTRIAL (Nível 3.5)                                  │</w:t>
        <w:br/>
        <w:t>│                                                                                 │</w:t>
        <w:br/>
        <w:t>│    ┌─────────────────────┐         ┌─────────────────────┐                     │</w:t>
        <w:br/>
        <w:t>│    │   ★ SRV-DB          │         │   ★ SRV-API         │                     │</w:t>
        <w:br/>
        <w:t>│    │                     │◄───────►│                     │                     │</w:t>
        <w:br/>
        <w:t>│    │  PostgreSQL / MSSQL │  TCP    │  APIs + Backend     │                     │</w:t>
        <w:br/>
        <w:t>│    │                     │  5432/  │  Node.js / Runtime  │                     │</w:t>
        <w:br/>
        <w:t>│    │  Linux Ubuntu LTS   │  1433   │  Linux Ubuntu LTS   │                     │</w:t>
        <w:br/>
        <w:t>│    │  (ou Windows Server)│         │  (ou Windows Server)│                     │</w:t>
        <w:br/>
        <w:t>│    └─────────────────────┘         └──────────┬──────────┘                     │</w:t>
        <w:br/>
        <w:t>│                                               │                                 │</w:t>
        <w:br/>
        <w:t>├───────────────────────────────────────────────┼─────────────────────────────────┤</w:t>
        <w:br/>
        <w:t>│                     FIREWALL / ACL                                              │</w:t>
        <w:br/>
        <w:t>│              (Regras de acesso TA ← API)                                       │</w:t>
        <w:br/>
        <w:t>├───────────────────────────────────────────────┼─────────────────────────────────┤</w:t>
        <w:br/>
        <w:t>│                                               │                                 │</w:t>
        <w:br/>
        <w:t>│              REDE DE AUTOMAÇÃO (TA)           │                                 │</w:t>
        <w:br/>
        <w:t>│             ISA-95 — Nível 2 / 1 / 0          │                                 │</w:t>
        <w:br/>
        <w:t>│                                               │                                 │</w:t>
        <w:br/>
        <w:t>│    ┌──────────────┐    ┌──────────────┐       │        ┌──────────────┐         │</w:t>
        <w:br/>
        <w:t>│    │    SCADA /    │    │     PLC      │◄──────┘        │     PLC      │         │</w:t>
        <w:br/>
        <w:t>│    │     HMI      │    │  (Siemens /  │  Modbus TCP/   │  (Allen-     │         │</w:t>
        <w:br/>
        <w:t>│    │              │    │   Rockwell)  │  OPC UA /      │   Bradley)   │         │</w:t>
        <w:br/>
        <w:t>│    └──────┬───────┘    └──────┬───────┘  EtherNet/IP   └──────┬───────┘         │</w:t>
        <w:br/>
        <w:t>│           │                   │                               │                 │</w:t>
        <w:br/>
        <w:t>│           └───────────────────┼───────────────────────────────┘                 │</w:t>
        <w:br/>
        <w:t>│                               │                                                 │</w:t>
        <w:br/>
        <w:t>│                    ┌──────────┴──────────┐                                      │</w:t>
        <w:br/>
        <w:t>│                    │  Rede de Campo      │                                      │</w:t>
        <w:br/>
        <w:t>│                    │  Sensores /         │                                      │</w:t>
        <w:br/>
        <w:t>│                    │  Atuadores / I/O    │                                      │</w:t>
        <w:br/>
        <w:t>│                    └────────────────────┘                                      │</w:t>
        <w:br/>
        <w:t>│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jc w:val="center"/>
      </w:pPr>
      <w:r>
        <w:rPr>
          <w:b/>
          <w:color w:val="005699"/>
          <w:sz w:val="20"/>
        </w:rPr>
        <w:t>Figura 1</w:t>
      </w:r>
      <w:r>
        <w:rPr>
          <w:color w:val="666666"/>
          <w:sz w:val="20"/>
        </w:rPr>
        <w:t xml:space="preserve"> — Diagrama de rede: topologia de implantação com integração TI/TA conforme ISA-95 e IEC 62443.</w:t>
      </w:r>
    </w:p>
    <w:p/>
    <w:p>
      <w:pPr>
        <w:pStyle w:val="Heading2"/>
      </w:pPr>
      <w:r>
        <w:rPr>
          <w:rFonts w:ascii="Calibri" w:hAnsi="Calibri"/>
          <w:color w:val="002B5C"/>
        </w:rPr>
        <w:t>5.1 Legenda e Notas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★ SRV-DB: </w:t>
      </w:r>
      <w:r>
        <w:rPr>
          <w:rFonts w:ascii="Calibri" w:hAnsi="Calibri"/>
          <w:color w:val="333333"/>
          <w:sz w:val="22"/>
        </w:rPr>
        <w:t>Servidor dedicado ao banco de dados (PostgreSQL ou SQL Server)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★ SRV-API: </w:t>
      </w:r>
      <w:r>
        <w:rPr>
          <w:rFonts w:ascii="Calibri" w:hAnsi="Calibri"/>
          <w:color w:val="333333"/>
          <w:sz w:val="22"/>
        </w:rPr>
        <w:t>Servidor dedicado às APIs e backend, com interface de rede na DMZ Industrial e acesso à rede TA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Firewall Industrial: </w:t>
      </w:r>
      <w:r>
        <w:rPr>
          <w:rFonts w:ascii="Calibri" w:hAnsi="Calibri"/>
          <w:color w:val="333333"/>
          <w:sz w:val="22"/>
        </w:rPr>
        <w:t>Dispositivo de segurança conforme IEC 62443, responsável pela segmentação de zonas e condutos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Protocolos TA: </w:t>
      </w:r>
      <w:r>
        <w:rPr>
          <w:rFonts w:ascii="Calibri" w:hAnsi="Calibri"/>
          <w:color w:val="333333"/>
          <w:sz w:val="22"/>
        </w:rPr>
        <w:t>A comunicação com PLCs pode utilizar Modbus TCP (porta 502), OPC UA (porta 4840) ou EtherNet/IP (porta 44818)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DMZ Industrial: </w:t>
      </w:r>
      <w:r>
        <w:rPr>
          <w:rFonts w:ascii="Calibri" w:hAnsi="Calibri"/>
          <w:color w:val="333333"/>
          <w:sz w:val="22"/>
        </w:rPr>
        <w:t>Zona intermediária entre TI e TA que hospeda os servidores do projeto, conforme ISA-95 Nível 3.5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6. Requisitos de Hardware</w:t>
      </w:r>
    </w:p>
    <w:p>
      <w:r>
        <w:t>Esta seção define os requisitos mínimos e recomendados de hardware para cada servidor. São apresentadas duas opções de provisionamento: virtualizado (Hyper-V/VMware) e bare-metal (máquina física).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/>
          </w:tcPr>
          <w:p>
            <w:r/>
            <w:r>
              <w:rPr>
                <w:rFonts w:ascii="Calibri" w:hAnsi="Calibri"/>
                <w:color w:val="002B5C"/>
                <w:sz w:val="20"/>
              </w:rPr>
              <w:t>ℹ NOTA: A prioridade é a utilização de sistema operacional Linux (Ubuntu Server 22.04 LTS ou RHEL 8/9). Caso o cliente não disponha de expertise em Linux, a alternativa Windows Server 2022 pode ser utilizada mediante acordo prévio.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B5C"/>
        </w:rPr>
        <w:t>6.1 Opção A — Máquinas Virtuais (Hyper-V / VMware / KVM)</w:t>
      </w:r>
    </w:p>
    <w:p>
      <w:r>
        <w:t>Caso o cliente opte por virtualização, as VMs devem ser provisionadas em host com recursos dedicados (não compartilhados com outras cargas de trabalho críticas). O hypervisor deve estar atualizado e em conformidade com IEC 62443.</w:t>
      </w:r>
    </w:p>
    <w:p/>
    <w:p>
      <w:pPr>
        <w:pStyle w:val="Heading3"/>
      </w:pPr>
      <w:r>
        <w:rPr>
          <w:rFonts w:ascii="Calibri" w:hAnsi="Calibri"/>
          <w:color w:val="002B5C"/>
        </w:rPr>
        <w:t>Servidor 1 — SRV-DB (Banco de Dados) — VM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Recomendado</w:t>
            </w:r>
          </w:p>
        </w:tc>
        <w:tc>
          <w:tcPr>
            <w:tcW w:type="dxa" w:w="3685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vCPU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 vCPUs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8 vCPUs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Cores dedicados (não overcommitted)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Memória RAM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8 GB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16 GB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DDR4 ECC, reserva fixa (sem ballooning)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SO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60 GB SSD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100 GB SSD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VMDK/VHDX em datastore SSD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Dados (BD)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100 GB SSD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250 GB NVMe/SSD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Volume separado do SO; IOPS ≥ 3.000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Logs/WAL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50 GB SSD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100 GB SSD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Volume dedicado para logs do SGBD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Backup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200 GB HDD/SSD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500 GB HDD/SSD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Volume ou share de rede (NFS/SMB)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Interface de Rede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1x 1 Gbps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1x 10 Gbps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VLAN dedicada na DMZ Industrial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2B5C"/>
        </w:rPr>
        <w:t>Servidor 2 — SRV-API (APIs e Backend) — VM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Recomendado</w:t>
            </w:r>
          </w:p>
        </w:tc>
        <w:tc>
          <w:tcPr>
            <w:tcW w:type="dxa" w:w="3685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vCPU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 vCPUs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8 vCPUs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Cores dedicados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Memória RAM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8 GB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16 GB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DDR4 ECC, reserva fixa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SO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60 GB SSD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100 GB SSD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VMDK/VHDX em datastore SSD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Aplicação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50 GB SSD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100 GB SSD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Volume separado para aplicações/logs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Interface de Rede 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1x 1 Gbps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1x 10 Gbps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VLAN DMZ Industrial (acesso ao BD e TI)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Interface de Rede 2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1x 1 Gbps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1x 1 Gbps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VLAN Rede TA (acesso aos PLCs)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/>
          </w:tcPr>
          <w:p>
            <w:r/>
            <w:r>
              <w:rPr>
                <w:rFonts w:ascii="Calibri" w:hAnsi="Calibri"/>
                <w:color w:val="002B5C"/>
                <w:sz w:val="20"/>
              </w:rPr>
              <w:t>⚠ REQUISITO CRÍTICO: O SRV-API deve possuir duas interfaces de rede (ou VLANs configuradas) para acessar simultaneamente a rede TI/DMZ (para comunicação com SRV-DB e serviços corporativos) e a rede TA (para comunicação com PLCs via Modbus TCP, OPC UA ou EtherNet/IP).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002B5C"/>
        </w:rPr>
        <w:t>6.2 Opção B — Máquinas Físicas (Bare-Metal)</w:t>
      </w:r>
    </w:p>
    <w:p>
      <w:r>
        <w:t>Caso o cliente opte por servidores físicos dedicados, os equipamentos devem atender às especificações abaixo. Recomenda-se servidores de grau industrial (ex.: Dell PowerEdge, HPE ProLiant, Lenovo ThinkSystem) com garantia e suporte ativo.</w:t>
      </w:r>
    </w:p>
    <w:p/>
    <w:p>
      <w:pPr>
        <w:pStyle w:val="Heading3"/>
      </w:pPr>
      <w:r>
        <w:rPr>
          <w:rFonts w:ascii="Calibri" w:hAnsi="Calibri"/>
          <w:color w:val="002B5C"/>
        </w:rPr>
        <w:t>Servidor 1 — SRV-DB (Banco de Dados) — Bare-Metal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Recomendado</w:t>
            </w:r>
          </w:p>
        </w:tc>
        <w:tc>
          <w:tcPr>
            <w:tcW w:type="dxa" w:w="311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Processador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Intel Xeon E-2300 ou</w:t>
              <w:br/>
              <w:t>AMD EPYC 7003 (4 cores)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Intel Xeon Silver 4300 ou</w:t>
              <w:br/>
              <w:t>AMD EPYC 7003 (8 cores)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Arquitetura x86_64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Memória RAM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16 GB DDR4 ECC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32 GB DDR4/DDR5 ECC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Dual-channel; suporte a expansão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SO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480 GB SSD SATA</w:t>
              <w:br/>
              <w:t>(RAID 1)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960 GB SSD SATA</w:t>
              <w:br/>
              <w:t>(RAID 1)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Espelhamento para resiliência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Dados (BD)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960 GB SSD NVMe</w:t>
              <w:br/>
              <w:t>(RAID 1)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4x 960 GB SSD NVMe</w:t>
              <w:br/>
              <w:t>(RAID 10)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IOPS ≥ 5.000; controladora HW RAID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Backup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2 TB HDD SATA</w:t>
              <w:br/>
              <w:t>(RAID 1)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4 TB HDD SATA</w:t>
              <w:br/>
              <w:t>(RAID 1)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Ou share de rede NFS/SMB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Interface de Rede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1 Gbps (RJ-45)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10 Gbps (SFP+)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Bonding/teaming para redundância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Fonte de Alimentação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Redundante (1+1)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Redundante (1+1)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Hot-swap; ≥ 550W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Gerenciamento Remoto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iDRAC / iLO / XCC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iDRAC / iLO / XCC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Acesso fora de banda (out-of-band)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2B5C"/>
        </w:rPr>
        <w:t>Servidor 2 — SRV-API (APIs e Backend) — Bare-Metal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Recomendado</w:t>
            </w:r>
          </w:p>
        </w:tc>
        <w:tc>
          <w:tcPr>
            <w:tcW w:type="dxa" w:w="311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Processador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Intel Xeon E-2300 ou</w:t>
              <w:br/>
              <w:t>AMD EPYC 7003 (4 cores)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Intel Xeon Silver 4300 ou</w:t>
              <w:br/>
              <w:t>AMD EPYC 7003 (8 cores)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Arquitetura x86_64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Memória RAM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16 GB DDR4 ECC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32 GB DDR4/DDR5 ECC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Dual-channel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SO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480 GB SSD SATA</w:t>
              <w:br/>
              <w:t>(RAID 1)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960 GB SSD SATA</w:t>
              <w:br/>
              <w:t>(RAID 1)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Espelhamento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 Aplicação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480 GB SSD NVMe</w:t>
              <w:br/>
              <w:t>(RAID 1)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2x 960 GB SSD NVMe</w:t>
              <w:br/>
              <w:t>(RAID 1)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Volume separado para apps e logs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Interface de Rede 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1x 1 Gbps (RJ-45)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1x 10 Gbps (SFP+)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TI / DMZ Industrial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Interface de Rede 2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1x 1 Gbps (RJ-45)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1x 1 Gbps (RJ-45)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TA (acesso a PLCs)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Fonte de Alimentação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Redundante (1+1)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Redundante (1+1)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Hot-swap; ≥ 550W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Gerenciamento Remoto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iDRAC / iLO / XCC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iDRAC / iLO / XCC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Acesso fora de banda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7. Requisitos de Software</w:t>
      </w:r>
    </w:p>
    <w:p>
      <w:r>
        <w:t>Esta seção detalha os requisitos de software para cada servidor. A prioridade é o uso de Linux com PostgreSQL. As alternativas Windows e SQL Server são apresentadas caso o cliente não tenha condições de utilizar a stack Linux.</w:t>
      </w:r>
    </w:p>
    <w:p/>
    <w:p>
      <w:pPr>
        <w:pStyle w:val="Heading2"/>
      </w:pPr>
      <w:r>
        <w:rPr>
          <w:rFonts w:ascii="Calibri" w:hAnsi="Calibri"/>
          <w:color w:val="002B5C"/>
        </w:rPr>
        <w:t>7.1 Servidor de Banco de Dados (SRV-DB)</w:t>
      </w:r>
    </w:p>
    <w:p>
      <w:pPr>
        <w:pStyle w:val="Heading3"/>
      </w:pPr>
      <w:r>
        <w:rPr>
          <w:rFonts w:ascii="Calibri" w:hAnsi="Calibri"/>
          <w:color w:val="002B5C"/>
        </w:rPr>
        <w:t>Opção Prioritária — Linux +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35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Versão / Especificação</w:t>
            </w:r>
          </w:p>
        </w:tc>
        <w:tc>
          <w:tcPr>
            <w:tcW w:type="dxa" w:w="4252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Sistema Operacional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Ubuntu Server 22.04 LTS (x86_64)</w:t>
              <w:br/>
              <w:t>ou RHEL 8/9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Instalação minimal (sem GUI);</w:t>
              <w:br/>
              <w:t>atualizações de segurança aplicadas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SGBD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PostgreSQL 15.x ou 16.x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Repositório oficial postgresql.org;</w:t>
              <w:br/>
              <w:t>extensões: pg_stat_statements, pgcrypto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Linguagem de Script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Python 3.10+ e/ou Bash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Para scripts de backup e manutenção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Firewall Local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UFW (Ubuntu) ou firewalld (RHEL)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Apenas portas necessárias abertas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SSH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OpenSSH Server 8.x+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Autenticação por chave; desabilitar root login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NTP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chrony ou systemd-timesyncd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Sincronização com servidor NTP corporativo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Monitoramento (agente)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Node Exporter (Prometheus)</w:t>
              <w:br/>
              <w:t>ou Zabbix Agent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Opcional; conforme política do cliente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Backup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pg_dump / pg_basebackup</w:t>
              <w:br/>
              <w:t>+ cron/systemd timer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Rotina automatizada diária (mín.)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2B5C"/>
        </w:rPr>
        <w:t>Opção Alternativa — Windows + SQL 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35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Versão / Especificação</w:t>
            </w:r>
          </w:p>
        </w:tc>
        <w:tc>
          <w:tcPr>
            <w:tcW w:type="dxa" w:w="4252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Sistema Operacional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Windows Server 2022 Standard</w:t>
              <w:br/>
              <w:t>ou Datacenter (x86_64)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Instalação Core ou Desktop Experience;</w:t>
              <w:br/>
              <w:t>Windows Update ativo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SGBD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SQL Server 2022 Standard</w:t>
              <w:br/>
              <w:t>ou Enterprise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Collation: Latin1_General_CI_AS;</w:t>
              <w:br/>
              <w:t>TempDB em disco separado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Runtime .NET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.NET 8.x LTS (se necessário)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Apenas se houver componentes .NET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Firewall Local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Windows Defender Firewall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Regras de entrada restritas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Acesso Remoto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RDP (porta 3389) ou</w:t>
              <w:br/>
              <w:t>Windows Admin Center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Acesso restrito por IP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NTP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W32Time (Windows Time)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Sincronizado com AD/NTP corporativo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Backup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SQL Server Agent + Jobs</w:t>
              <w:br/>
              <w:t>ou scripts PowerShell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Backup full diário + differential a cada 6h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B5C"/>
        </w:rPr>
        <w:t>7.2 Servidor de APIs e Backend (SRV-API)</w:t>
      </w:r>
    </w:p>
    <w:p>
      <w:pPr>
        <w:pStyle w:val="Heading3"/>
      </w:pPr>
      <w:r>
        <w:rPr>
          <w:rFonts w:ascii="Calibri" w:hAnsi="Calibri"/>
          <w:color w:val="002B5C"/>
        </w:rPr>
        <w:t>Opção Prioritária — Linux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35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Versão / Especificação</w:t>
            </w:r>
          </w:p>
        </w:tc>
        <w:tc>
          <w:tcPr>
            <w:tcW w:type="dxa" w:w="4252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Sistema Operacional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Ubuntu Server 22.04 LTS (x86_64)</w:t>
              <w:br/>
              <w:t>ou RHEL 8/9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Instalação minimal (sem GUI)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Runtime Node.js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Node.js 20.x LTS ou 22.x LTS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Instalado via NodeSource ou nvm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Gerenciador de Pacotes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npm 10.x+ ou yarn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Conforme projeto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Process Manager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PM2 ou systemd services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Para gerenciamento dos processos Node.js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Docker (opcional)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Docker Engine 24.x+</w:t>
              <w:br/>
              <w:t>+ Docker Compose v2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 a implantação for containerizada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Nginx / Reverse Proxy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Nginx 1.24+ ou Caddy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Reverse proxy, TLS termination, load balancing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Firewall Local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UFW (Ubuntu) ou firewalld (RHEL)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Apenas portas necessárias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SSH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OpenSSH Server 8.x+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Autenticação por chave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NTP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chrony ou systemd-timesyncd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Sincronização com NTP corporativo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Bibliotecas PLC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node-opcua, modbus-serial,</w:t>
              <w:br/>
              <w:t>ethernet-ip ou similar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Conforme protocolo do PLC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Certificados TLS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Let's Encrypt ou CA interna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Para comunicação HTTPS entre API e clientes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2B5C"/>
        </w:rPr>
        <w:t>Opção Alternativa — Windows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35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Versão / Especificação</w:t>
            </w:r>
          </w:p>
        </w:tc>
        <w:tc>
          <w:tcPr>
            <w:tcW w:type="dxa" w:w="4252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Sistema Operacional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Windows Server 2022 Standard</w:t>
              <w:br/>
              <w:t>ou Datacenter (x86_64)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Instalação Core ou Desktop Experience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Runtime Node.js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Node.js 20.x LTS ou 22.x LTS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Instalador MSI oficial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Process Manager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PM2 ou Windows Service</w:t>
              <w:br/>
              <w:t>(node-windows)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Para execução como serviço Windows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Docker (opcional)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Docker Desktop ou</w:t>
              <w:br/>
              <w:t>containers nativos Windows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 aplicável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IIS / Reverse Proxy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IIS 10 com URL Rewrite</w:t>
              <w:br/>
              <w:t>ou Nginx Windows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Reverse proxy e TLS termination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Firewall Local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Windows Defender Firewall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Regras de entrada restritas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NTP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W32Time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Sincronizado com AD/NTP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8. Requisitos de Rede</w:t>
      </w:r>
    </w:p>
    <w:p>
      <w:r>
        <w:t>Os requisitos de rede seguem as diretrizes da IEC 62443 para segmentação de zonas e condutos em ambientes industriais, e ISA-95 para o modelo de níveis.</w:t>
      </w:r>
    </w:p>
    <w:p/>
    <w:p>
      <w:pPr>
        <w:pStyle w:val="Heading2"/>
      </w:pPr>
      <w:r>
        <w:rPr>
          <w:rFonts w:ascii="Calibri" w:hAnsi="Calibri"/>
          <w:color w:val="002B5C"/>
        </w:rPr>
        <w:t>8.1 Segmentação de Rede (VLANs)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VLAN / Segmento</w:t>
            </w:r>
          </w:p>
        </w:tc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Servidores</w:t>
            </w:r>
          </w:p>
        </w:tc>
        <w:tc>
          <w:tcPr>
            <w:tcW w:type="dxa" w:w="2835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55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Exemplo de Sub-rede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VLAN DMZ Industrial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SRV-DB + SRV-API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Zona intermediária entre TI e TA;</w:t>
              <w:br/>
              <w:t>hospeda os servidores do projeto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10.10.50.0/24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VLAN Rede TI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—</w:t>
            </w:r>
          </w:p>
        </w:tc>
        <w:tc>
          <w:tcPr>
            <w:tcW w:type="dxa" w:w="283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corporativa;</w:t>
              <w:br/>
              <w:t>acesso a serviços de suporte (AD, DNS, NTP)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10.10.10.0/24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VLAN Rede TA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PLCs, SCADA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Rede de automação;</w:t>
              <w:br/>
              <w:t>acesso a PLCs para coleta de dados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192.168.1.0/24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B5C"/>
        </w:rPr>
        <w:t>8.2 Matriz de Portas e Protocolos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Destino</w:t>
            </w:r>
          </w:p>
        </w:tc>
        <w:tc>
          <w:tcPr>
            <w:tcW w:type="dxa" w:w="1417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Porta/Protocolo</w:t>
            </w:r>
          </w:p>
        </w:tc>
        <w:tc>
          <w:tcPr>
            <w:tcW w:type="dxa" w:w="226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850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Direção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SRV-DB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TCP 5432</w:t>
              <w:br/>
              <w:t>(ou TCP 1433)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Conexão ao PostgreSQL</w:t>
              <w:br/>
              <w:t>(ou SQL Server)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  <w:tr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PLCs (Rede TA)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TCP 502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Modbus TCP</w:t>
            </w:r>
          </w:p>
        </w:tc>
        <w:tc>
          <w:tcPr>
            <w:tcW w:type="dxa" w:w="85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PLCs (Rede TA)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TCP 4840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OPC UA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  <w:tr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PLCs (Rede TA)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TCP 44818</w:t>
              <w:br/>
              <w:t>UDP 2222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EtherNet/IP</w:t>
              <w:br/>
              <w:t>(CIP)</w:t>
            </w:r>
          </w:p>
        </w:tc>
        <w:tc>
          <w:tcPr>
            <w:tcW w:type="dxa" w:w="85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Clientes (TI)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TCP 443</w:t>
              <w:br/>
              <w:t>(HTTPS)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Acesso à API REST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  <w:tr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Clientes (TI)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TCP 80</w:t>
              <w:br/>
              <w:t>(HTTP)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Redirect para HTTPS</w:t>
              <w:br/>
              <w:t>(opcional)</w:t>
            </w:r>
          </w:p>
        </w:tc>
        <w:tc>
          <w:tcPr>
            <w:tcW w:type="dxa" w:w="85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 (TI)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SRV-DB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TCP 22</w:t>
              <w:br/>
              <w:t>(SSH)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Administração remota</w:t>
              <w:br/>
              <w:t>(Linux)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  <w:tr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 (TI)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TCP 22</w:t>
              <w:br/>
              <w:t>(SSH)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Administração remota</w:t>
              <w:br/>
              <w:t>(Linux)</w:t>
            </w:r>
          </w:p>
        </w:tc>
        <w:tc>
          <w:tcPr>
            <w:tcW w:type="dxa" w:w="85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 (TI)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SRV-DB/API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TCP 3389</w:t>
              <w:br/>
              <w:t>(RDP)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Administração remota</w:t>
              <w:br/>
              <w:t>(Windows, se aplicável)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  <w:tr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SRV-DB / SRV-API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NTP Server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UDP 123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Sincronização de tempo</w:t>
            </w:r>
          </w:p>
        </w:tc>
        <w:tc>
          <w:tcPr>
            <w:tcW w:type="dxa" w:w="85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SRV-DB / SRV-API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DNS Server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UDP/TCP 53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Resolução de nomes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→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B5C"/>
        </w:rPr>
        <w:t>8.3 Requisitos Gerais de Rede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Latência: </w:t>
      </w:r>
      <w:r>
        <w:rPr>
          <w:rFonts w:ascii="Calibri" w:hAnsi="Calibri"/>
          <w:color w:val="333333"/>
          <w:sz w:val="22"/>
        </w:rPr>
        <w:t>A latência entre SRV-API e SRV-DB deve ser ≤ 1 ms (mesma VLAN/switch)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Latência TA: </w:t>
      </w:r>
      <w:r>
        <w:rPr>
          <w:rFonts w:ascii="Calibri" w:hAnsi="Calibri"/>
          <w:color w:val="333333"/>
          <w:sz w:val="22"/>
        </w:rPr>
        <w:t>A latência entre SRV-API e PLCs deve ser ≤ 10 ms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Banda: </w:t>
      </w:r>
      <w:r>
        <w:rPr>
          <w:rFonts w:ascii="Calibri" w:hAnsi="Calibri"/>
          <w:color w:val="333333"/>
          <w:sz w:val="22"/>
        </w:rPr>
        <w:t>Mínimo 1 Gbps entre todos os servidores e equipamentos envolvidos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DNS: </w:t>
      </w:r>
      <w:r>
        <w:rPr>
          <w:rFonts w:ascii="Calibri" w:hAnsi="Calibri"/>
          <w:color w:val="333333"/>
          <w:sz w:val="22"/>
        </w:rPr>
        <w:t>Os servidores devem ter resolução DNS funcional (interno e, se necessário, externo)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NTP: </w:t>
      </w:r>
      <w:r>
        <w:rPr>
          <w:rFonts w:ascii="Calibri" w:hAnsi="Calibri"/>
          <w:color w:val="333333"/>
          <w:sz w:val="22"/>
        </w:rPr>
        <w:t>Sincronização de tempo obrigatória com fonte NTP confiável (desvio máx. 50 ms)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Firewall: </w:t>
      </w:r>
      <w:r>
        <w:rPr>
          <w:rFonts w:ascii="Calibri" w:hAnsi="Calibri"/>
          <w:color w:val="333333"/>
          <w:sz w:val="22"/>
        </w:rPr>
        <w:t>Regras de firewall devem ser configuradas conforme a matriz de portas acima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Redundância: </w:t>
      </w:r>
      <w:r>
        <w:rPr>
          <w:rFonts w:ascii="Calibri" w:hAnsi="Calibri"/>
          <w:color w:val="333333"/>
          <w:sz w:val="22"/>
        </w:rPr>
        <w:t>Recomendado: switches redundantes e uplinks agregados (LACP)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9. Requisitos de Segurança</w:t>
      </w:r>
    </w:p>
    <w:p>
      <w:r>
        <w:t>Os requisitos de segurança seguem as diretrizes da ISO/IEC 27001, IEC 62443 e NIST SP 800-82 para ambientes industriais.</w:t>
      </w:r>
    </w:p>
    <w:p/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Segmentação de Rede: </w:t>
      </w:r>
      <w:r>
        <w:rPr>
          <w:rFonts w:ascii="Calibri" w:hAnsi="Calibri"/>
          <w:color w:val="333333"/>
          <w:sz w:val="22"/>
        </w:rPr>
        <w:t>A rede TA deve estar segregada da rede TI por meio de firewall industrial, com regras explícitas de permissão (whitelist). Conforme IEC 62443-3-3.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Autenticação: </w:t>
      </w:r>
      <w:r>
        <w:rPr>
          <w:rFonts w:ascii="Calibri" w:hAnsi="Calibri"/>
          <w:color w:val="333333"/>
          <w:sz w:val="22"/>
        </w:rPr>
        <w:t>Todos os acessos administrativos devem utilizar autenticação forte (chave SSH ou MFA). Senhas padrão devem ser alteradas.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Criptografia em Trânsito: </w:t>
      </w:r>
      <w:r>
        <w:rPr>
          <w:rFonts w:ascii="Calibri" w:hAnsi="Calibri"/>
          <w:color w:val="333333"/>
          <w:sz w:val="22"/>
        </w:rPr>
        <w:t>Comunicação entre APIs e clientes via HTTPS/TLS 1.2+. Comunicação entre SRV-API e SRV-DB via SSL/TLS quando suportado.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Criptografia em Repouso: </w:t>
      </w:r>
      <w:r>
        <w:rPr>
          <w:rFonts w:ascii="Calibri" w:hAnsi="Calibri"/>
          <w:color w:val="333333"/>
          <w:sz w:val="22"/>
        </w:rPr>
        <w:t>Dados sensíveis no banco de dados devem ser cifrados (pgcrypto no PostgreSQL ou TDE no SQL Server).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Atualizações: </w:t>
      </w:r>
      <w:r>
        <w:rPr>
          <w:rFonts w:ascii="Calibri" w:hAnsi="Calibri"/>
          <w:color w:val="333333"/>
          <w:sz w:val="22"/>
        </w:rPr>
        <w:t>Servidores devem ter um plano de patching regular. Patches críticos devem ser aplicados em até 30 dias após publicação.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Logs de Auditoria: </w:t>
      </w:r>
      <w:r>
        <w:rPr>
          <w:rFonts w:ascii="Calibri" w:hAnsi="Calibri"/>
          <w:color w:val="333333"/>
          <w:sz w:val="22"/>
        </w:rPr>
        <w:t>Todos os acessos administrativos e operações críticas no banco devem ser registrados e retidos por no mínimo 90 dias.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Antivírus/EDR: </w:t>
      </w:r>
      <w:r>
        <w:rPr>
          <w:rFonts w:ascii="Calibri" w:hAnsi="Calibri"/>
          <w:color w:val="333333"/>
          <w:sz w:val="22"/>
        </w:rPr>
        <w:t>Se Windows, manter Windows Defender ou EDR corporativo ativo. Se Linux, avaliar ClamAV ou solução EDR do cliente.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Hardening: </w:t>
      </w:r>
      <w:r>
        <w:rPr>
          <w:rFonts w:ascii="Calibri" w:hAnsi="Calibri"/>
          <w:color w:val="333333"/>
          <w:sz w:val="22"/>
        </w:rPr>
        <w:t>Aplicar guia de hardening do CIS Benchmark para o SO utilizado (CIS Ubuntu, CIS RHEL ou CIS Windows Server).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Acesso Físico: </w:t>
      </w:r>
      <w:r>
        <w:rPr>
          <w:rFonts w:ascii="Calibri" w:hAnsi="Calibri"/>
          <w:color w:val="333333"/>
          <w:sz w:val="22"/>
        </w:rPr>
        <w:t>Servidores devem estar em sala ou rack com acesso controlado (chave/crachá), conforme ANSI/TIA-942.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Princípio do Menor Privilégio: </w:t>
      </w:r>
      <w:r>
        <w:rPr>
          <w:rFonts w:ascii="Calibri" w:hAnsi="Calibri"/>
          <w:color w:val="333333"/>
          <w:sz w:val="22"/>
        </w:rPr>
        <w:t>Contas de serviço e de banco de dados devem ter apenas as permissões mínimas necessárias para operação.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10. Requisitos de Backup e Recuperação</w:t>
      </w:r>
    </w:p>
    <w:p>
      <w:r>
        <w:t>Os requisitos de backup visam garantir a continuidade de negócios conforme ISO 22301.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26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252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RPO (Recovery Point Objective)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≤ 24 horas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Perda máxima de dados aceitável</w:t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RTO (Recovery Time Objective)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≤ 4 horas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Tempo máximo para restaurar o serviço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Backup Full do BD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Diário (mín.)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pg_basebackup ou SQL Server Full Backup</w:t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Backup Diferencial/WAL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 cada 6 horas (mín.)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WAL archiving (PG) ou Differential (MSSQL)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Backup de Configuração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Semanal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Arquivos de config do SO, nginx, apps</w:t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Retenção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30 dias (mín.)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Backups locais + cópia offsite recomendada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Teste de Restore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Mensal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Validar integridade dos backups</w:t>
            </w:r>
          </w:p>
        </w:tc>
      </w:tr>
      <w:tr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Armazenamento de Backup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Volume separado ou NFS/SMB</w:t>
            </w:r>
          </w:p>
        </w:tc>
        <w:tc>
          <w:tcPr>
            <w:tcW w:type="dxa" w:w="4252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Não armazenar backup no mesmo disco do BD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2B5C"/>
        </w:rPr>
        <w:t>11. Requisitos de Monitoramento</w:t>
      </w:r>
    </w:p>
    <w:p>
      <w:r>
        <w:t>Recomenda-se a implementação de monitoramento para garantir visibilidade operacional e resposta a incidentes.</w:t>
      </w:r>
    </w:p>
    <w:p/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Métricas de Infraestrutura: </w:t>
      </w:r>
      <w:r>
        <w:rPr>
          <w:rFonts w:ascii="Calibri" w:hAnsi="Calibri"/>
          <w:color w:val="333333"/>
          <w:sz w:val="22"/>
        </w:rPr>
        <w:t>CPU, memória, disco (uso e IOPS), rede — coletadas a cada 60s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Métricas de Aplicação: </w:t>
      </w:r>
      <w:r>
        <w:rPr>
          <w:rFonts w:ascii="Calibri" w:hAnsi="Calibri"/>
          <w:color w:val="333333"/>
          <w:sz w:val="22"/>
        </w:rPr>
        <w:t>Tempo de resposta das APIs, taxa de erros, throughput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Métricas de Banco: </w:t>
      </w:r>
      <w:r>
        <w:rPr>
          <w:rFonts w:ascii="Calibri" w:hAnsi="Calibri"/>
          <w:color w:val="333333"/>
          <w:sz w:val="22"/>
        </w:rPr>
        <w:t>Conexões ativas, queries lentas, tamanho do banco, replicação (se houver)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Alertas: </w:t>
      </w:r>
      <w:r>
        <w:rPr>
          <w:rFonts w:ascii="Calibri" w:hAnsi="Calibri"/>
          <w:color w:val="333333"/>
          <w:sz w:val="22"/>
        </w:rPr>
        <w:t>Configurar alertas para: disco &gt; 80%, CPU &gt; 90% por 5 min, serviço indisponível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Ferramenta Sugerida: </w:t>
      </w:r>
      <w:r>
        <w:rPr>
          <w:rFonts w:ascii="Calibri" w:hAnsi="Calibri"/>
          <w:color w:val="333333"/>
          <w:sz w:val="22"/>
        </w:rPr>
        <w:t>Prometheus + Grafana (Linux) ou Zabbix (compatível com ambos os SOs)</w:t>
      </w:r>
    </w:p>
    <w:p>
      <w:pPr>
        <w:pStyle w:val="ListBullet"/>
        <w:ind w:left="720"/>
      </w:pPr>
      <w:r>
        <w:rPr>
          <w:rFonts w:ascii="Calibri" w:hAnsi="Calibri"/>
          <w:b/>
          <w:color w:val="333333"/>
          <w:sz w:val="22"/>
        </w:rPr>
        <w:t xml:space="preserve">Logs Centralizados: </w:t>
      </w:r>
      <w:r>
        <w:rPr>
          <w:rFonts w:ascii="Calibri" w:hAnsi="Calibri"/>
          <w:color w:val="333333"/>
          <w:sz w:val="22"/>
        </w:rPr>
        <w:t>Considerar envio de logs para solução centralizada (ELK, Graylog, Splunk)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12. Cronograma de Preparação Sugerido</w:t>
      </w:r>
    </w:p>
    <w:p>
      <w:r>
        <w:t>Abaixo, o cronograma sugerido para preparação do ambiente pelo cliente, considerando que o deploy está planejado para a data acordada no projeto.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11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255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 Sugerido</w:t>
            </w:r>
          </w:p>
        </w:tc>
        <w:tc>
          <w:tcPr>
            <w:tcW w:type="dxa" w:w="255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Aprovação deste documento de requisitos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D-30 (30 dias antes do deploy)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 (TI + TA)</w:t>
            </w:r>
          </w:p>
        </w:tc>
      </w:tr>
      <w:tr>
        <w:tc>
          <w:tcPr>
            <w:tcW w:type="dxa" w:w="85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Provisionamento de VMs ou aquisição de hardware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D-25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 (TI)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Instalação do sistema operacional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D-20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 (TI)</w:t>
            </w:r>
          </w:p>
        </w:tc>
      </w:tr>
      <w:tr>
        <w:tc>
          <w:tcPr>
            <w:tcW w:type="dxa" w:w="85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Configuração de rede (VLANs, firewall, DNS, NTP)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D-18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 (TI + TA)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Instalação do SGBD (PostgreSQL ou SQL Server)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D-15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 (TI) + Fornecedor</w:t>
            </w:r>
          </w:p>
        </w:tc>
      </w:tr>
      <w:tr>
        <w:tc>
          <w:tcPr>
            <w:tcW w:type="dxa" w:w="85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Instalação de runtime e dependências (SRV-API)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D-15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 (TI) + Fornecedor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Hardening e aplicação de patches de segurança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D-12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 (TI)</w:t>
            </w:r>
          </w:p>
        </w:tc>
      </w:tr>
      <w:tr>
        <w:tc>
          <w:tcPr>
            <w:tcW w:type="dxa" w:w="85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Testes de conectividade (TI ↔ DMZ ↔ TA)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D-10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 (TI + TA) + Fornecedor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Validação do ambiente (checklist seção 13)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D-7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Fornecedor</w:t>
            </w:r>
          </w:p>
        </w:tc>
      </w:tr>
      <w:tr>
        <w:tc>
          <w:tcPr>
            <w:tcW w:type="dxa" w:w="850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type="dxa" w:w="311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Deploy da aplicação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D-Day</w:t>
            </w:r>
          </w:p>
        </w:tc>
        <w:tc>
          <w:tcPr>
            <w:tcW w:type="dxa" w:w="255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Fornecedor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2B5C"/>
        </w:rPr>
        <w:t>13. Checklist de Validação de Ambiente</w:t>
      </w:r>
    </w:p>
    <w:p>
      <w:r>
        <w:t>Utilize esta checklist para validar que o ambiente está pronto para receber o deploy. Todos os itens devem ser marcados como OK antes do início da implantação.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 de Verificação</w:t>
            </w:r>
          </w:p>
        </w:tc>
        <w:tc>
          <w:tcPr>
            <w:tcW w:type="dxa" w:w="113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SRV-DB</w:t>
            </w:r>
          </w:p>
        </w:tc>
        <w:tc>
          <w:tcPr>
            <w:tcW w:type="dxa" w:w="113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SRV-API</w:t>
            </w:r>
          </w:p>
        </w:tc>
        <w:tc>
          <w:tcPr>
            <w:tcW w:type="dxa" w:w="1417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SO instalado e atualizado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Hostname configurado conforme padrão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IP fixo configurado (VLAN correta)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DNS resolvendo corretamente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NTP sincronizado (desvio &lt; 50 ms)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Firewall local configurado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SSH / RDP funcional (acesso admin)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SGBD instalado e acessível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N/A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Runtime Node.js instalado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N/A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Nginx / Reverse proxy configurado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N/A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Certificados TLS instalados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N/A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12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Conectividade SRV-API → SRV-DB (porta BD)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Conectividade SRV-API → PLCs (rede TA)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N/A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14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Discos/volumes separados conforme requisitos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15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Rotina de backup configurada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N/A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16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Monitoramento/agente instalado (se aplicável)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17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Hardening aplicado (CIS Benchmark)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18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Usuário de serviço criado (não root/admin)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19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Documentação de acesso entregue ao fornecedor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56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20</w:t>
            </w:r>
          </w:p>
        </w:tc>
        <w:tc>
          <w:tcPr>
            <w:tcW w:type="dxa" w:w="3685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Teste de restore de backup realizado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☐</w:t>
            </w:r>
          </w:p>
        </w:tc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N/A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Anexo A — Diagrama de Rede Detalhado</w:t>
      </w:r>
    </w:p>
    <w:p>
      <w:r>
        <w:t>Diagrama detalhado com endereçamento IP e portas de comunicação (exemplo ilustrativo — os endereços IP devem ser definidos pela equipe de TI/TA do cliente).</w:t>
      </w:r>
    </w:p>
    <w:p/>
    <w:p>
      <w:pPr>
        <w:jc w:val="left"/>
      </w:pPr>
      <w:r>
        <w:rPr>
          <w:rFonts w:ascii="Consolas" w:hAnsi="Consolas"/>
          <w:color w:val="002B5C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REDE CORPORATIVA (TI)                               │</w:t>
        <w:br/>
        <w:t>│                    Sub-rede: 10.10.10.0/24                             │</w:t>
        <w:br/>
        <w:t>│                                                                         │</w:t>
        <w:br/>
        <w:t>│  ┌────────────────┐  ┌────────────────┐  ┌────────────────┐            │</w:t>
        <w:br/>
        <w:t>│  │  Workstations  │  │  AD/DNS Server │  │  NTP Server    │            │</w:t>
        <w:br/>
        <w:t>│  │  10.10.10.x    │  │  10.10.10.10   │  │  10.10.10.11   │            │</w:t>
        <w:br/>
        <w:t>│  └───────┬────────┘  └───────┬────────┘  └───────┬────────┘            │</w:t>
        <w:br/>
        <w:t>│          └───────────────────┼───────────────────┘                      │</w:t>
        <w:br/>
        <w:t>│                              │                                          │</w:t>
        <w:br/>
        <w:t>│               ╔══════════════╧══════════════╗                           │</w:t>
        <w:br/>
        <w:t>│               ║   Firewall Industrial       ║                           │</w:t>
        <w:br/>
        <w:t>│               ║   (IEC 62443 compliant)     ║                           │</w:t>
        <w:br/>
        <w:t>│               ╚══════════════╤══════════════╝                           │</w:t>
        <w:br/>
        <w:t>│                              │                                          │</w:t>
        <w:br/>
        <w:t>├──────────────────────────────┼──────────────────────────────────────────┤</w:t>
        <w:br/>
        <w:t>│               DMZ INDUSTRIAL │                                          │</w:t>
        <w:br/>
        <w:t>│           Sub-rede: 10.10.50.0/24                                      │</w:t>
        <w:br/>
        <w:t>│                              │                                          │</w:t>
        <w:br/>
        <w:t>│  ┌───────────────────────────┼──────────────────────────────────┐       │</w:t>
        <w:br/>
        <w:t>│  │                           │                                  │       │</w:t>
        <w:br/>
        <w:t>│  │   ┌────────────────────┐  │  ┌────────────────────┐          │       │</w:t>
        <w:br/>
        <w:t>│  │   │ SRV-DB             │  │  │ SRV-API            │          │       │</w:t>
        <w:br/>
        <w:t>│  │   │ IP: 10.10.50.10    │  │  │ eth0: 10.10.50.20  │          │       │</w:t>
        <w:br/>
        <w:t>│  │   │                    │  │  │ eth1: 192.168.1.100 │          │       │</w:t>
        <w:br/>
        <w:t>│  │   │ PostgreSQL :5432   │◄─┼──│                    │          │       │</w:t>
        <w:br/>
        <w:t>│  │   │ (ou MSSQL :1433)   │  │  │ HTTPS API  :443    │          │       │</w:t>
        <w:br/>
        <w:t>│  │   │                    │  │  │ Node.js    :3000    │          │       │</w:t>
        <w:br/>
        <w:t>│  │   │ SSH        :22     │  │  │ SSH        :22     │          │       │</w:t>
        <w:br/>
        <w:t>│  │   └────────────────────┘  │  └─────────┬──────────┘          │       │</w:t>
        <w:br/>
        <w:t>│  │                           │            │ eth1                │       │</w:t>
        <w:br/>
        <w:t>│  └───────────────────────────┼────────────┼─────────────────────┘       │</w:t>
        <w:br/>
        <w:t>│                              │            │                             │</w:t>
        <w:br/>
        <w:t>├──────────────────────────────┼────────────┼─────────────────────────────┤</w:t>
        <w:br/>
        <w:t>│               Firewall / ACL │            │                             │</w:t>
        <w:br/>
        <w:t>│  Regras: ALLOW 10.10.50.20 → 192.168.1.0/24 :502,:4840,:44818         │</w:t>
        <w:br/>
        <w:t>├──────────────────────────────┼────────────┼─────────────────────────────┤</w:t>
        <w:br/>
        <w:t>│                              │            │                             │</w:t>
        <w:br/>
        <w:t>│          REDE DE AUTOMAÇÃO (TA)           │                             │</w:t>
        <w:br/>
        <w:t>│          Sub-rede: 192.168.1.0/24         │                             │</w:t>
        <w:br/>
        <w:t>│                                           │                             │</w:t>
        <w:br/>
        <w:t>│  ┌────────────────┐  ┌────────────────┐   │  ┌────────────────┐         │</w:t>
        <w:br/>
        <w:t>│  │  SCADA / HMI   │  │  PLC #1        │◄──┘  │  PLC #2        │         │</w:t>
        <w:br/>
        <w:t>│  │  192.168.1.10  │  │  192.168.1.20  │      │  192.168.1.21  │         │</w:t>
        <w:br/>
        <w:t>│  │                │  │  Modbus :502   │      │  OPC UA :4840  │         │</w:t>
        <w:br/>
        <w:t>│  └────────────────┘  └───────┬────────┘      └───────┬────────┘         │</w:t>
        <w:br/>
        <w:t>│                              │                       │                  │</w:t>
        <w:br/>
        <w:t>│                    ┌─────────┴───────────────────────┘                  │</w:t>
        <w:br/>
        <w:t>│                    │   Rede de Campo (Sensores/Atuadores)              │</w:t>
        <w:br/>
        <w:t>│                    │   Profinet / DeviceNet / HART                     │</w:t>
        <w:br/>
        <w:t>│                    └──────────────────────────────────┘             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jc w:val="center"/>
      </w:pPr>
      <w:r>
        <w:rPr>
          <w:b/>
          <w:color w:val="005699"/>
          <w:sz w:val="20"/>
        </w:rPr>
        <w:t>Figura 2</w:t>
      </w:r>
      <w:r>
        <w:rPr>
          <w:color w:val="666666"/>
          <w:sz w:val="20"/>
        </w:rPr>
        <w:t xml:space="preserve"> — Diagrama de rede detalhado com endereçamento IP e portas (exemplo).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2B5C"/>
        </w:rPr>
        <w:t>Anexo B — Matriz de Portas e Protocolos (Resumo)</w:t>
      </w:r>
    </w:p>
    <w:p>
      <w:r>
        <w:t>Resumo consolidado de todas as portas e protocolos que devem estar liberados nos firewalls e ACLs para funcionamento do sistema.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Porta</w:t>
            </w:r>
          </w:p>
        </w:tc>
        <w:tc>
          <w:tcPr>
            <w:tcW w:type="dxa" w:w="1417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1984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2268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Origem → Destino</w:t>
            </w:r>
          </w:p>
        </w:tc>
        <w:tc>
          <w:tcPr>
            <w:tcW w:type="dxa" w:w="1701"/>
            <w:vAlign w:val="center"/>
            <w:shd w:fill="002B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Obrigatório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22/TCP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SSH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Administração remota (Linux)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 → SRV-DB, SRV-API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Sim (Linux)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53/UDP+TCP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DNS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Resolução de nomes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SRV-* → DNS Server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Sim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80/TCP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HTTP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Redirect para HTTPS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Clientes → SRV-API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Opcional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123/UDP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NTP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Sincronização de tempo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SRV-* → NTP Server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Sim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443/TCP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HTTPS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API REST / WebSocket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Clientes → SRV-API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Sim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502/TCP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Modbus TCP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Comunicação com PLC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 → PLCs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Conforme PLC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1433/TCP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TDS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SQL Server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 → SRV-DB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Sim (MSSQL)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3000/TCP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HTTP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Node.js (dev/interno)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Interno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Opcional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3389/TCP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RDP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Administração remota (Windows)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 → SRV-*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Sim (Windows)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4840/TCP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OPC UA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Comunicação com PLC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 → PLCs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Conforme PLC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5432/TCP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PostgreSQL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Banco de dados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 → SRV-DB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Sim (PG)</w:t>
            </w:r>
          </w:p>
        </w:tc>
      </w:tr>
      <w:tr>
        <w:tc>
          <w:tcPr>
            <w:tcW w:type="dxa" w:w="113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44818/TCP</w:t>
            </w:r>
          </w:p>
        </w:tc>
        <w:tc>
          <w:tcPr>
            <w:tcW w:type="dxa" w:w="1417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EtherNet/IP</w:t>
            </w:r>
          </w:p>
        </w:tc>
        <w:tc>
          <w:tcPr>
            <w:tcW w:type="dxa" w:w="1984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Comunicação com PLC (CIP)</w:t>
            </w:r>
          </w:p>
        </w:tc>
        <w:tc>
          <w:tcPr>
            <w:tcW w:type="dxa" w:w="2268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SRV-API → PLCs</w:t>
            </w:r>
          </w:p>
        </w:tc>
        <w:tc>
          <w:tcPr>
            <w:tcW w:type="dxa" w:w="1701"/>
            <w:vAlign w:val="center"/>
            <w:shd w:fill="F2F6FA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Conforme PLC</w:t>
            </w:r>
          </w:p>
        </w:tc>
      </w:tr>
    </w:tbl>
    <w:p/>
    <w:p/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66666"/>
          <w:sz w:val="16"/>
        </w:rPr>
        <w:t>Este documento é confidencial e de uso restrito. A reprodução total ou parcial sem autorização prévia é proibida.</w:t>
        <w:br/>
        <w:t>Documento gerado conforme padrões ISO/IEC 25010, ISO/IEC 27001, IEC 62443, ISA-95 e ANSI/TIA-942.</w:t>
        <w:br/>
        <w:t>© 2026 — Todos os direitos reservados.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