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B70"/>
        </w:rPr>
        <w:t>Sostenibilidad aplicada al sistema productivo · 2.º DAM</w:t>
      </w:r>
    </w:p>
    <w:p>
      <w:pPr>
        <w:pStyle w:val="Title"/>
      </w:pPr>
      <w:r>
        <w:t>Actividad 3 · Ejemplo de práctica resuelta</w:t>
      </w:r>
    </w:p>
    <w:p>
      <w:r>
        <w:t>UT1 · ¿Invertirías en esta empresa tecnológica? · Curso 2026/27</w:t>
      </w:r>
    </w:p>
    <w:p>
      <w:r>
        <w:t>MODELO DIDÁCTICO. Las empresas, sus datos y la decisión son ficticios. Este documento muestra el nivel de explicación y justificación esperado; no resuelve el caso NubeRápida / CódigoClaro del enunciado.</w:t>
      </w:r>
    </w:p>
    <w:p>
      <w:pPr>
        <w:pStyle w:val="Heading1"/>
      </w:pPr>
      <w:r>
        <w:t>1. Presentación del caso</w:t>
      </w:r>
    </w:p>
    <w:p>
      <w:r>
        <w:t>Somos un equipo asesor que compara dos empresas tecnológicas que solicitan financiación. Analizaremos la sostenibilidad y la calidad de la información que facilitan, sin confundir esta valoración con una recomendación financiera real.</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9486B"/>
          </w:tcPr>
          <w:p>
            <w:r>
              <w:rPr>
                <w:b/>
                <w:color w:val="FFFFFF"/>
                <w:sz w:val="17"/>
              </w:rPr>
              <w:t>Aspecto</w:t>
            </w:r>
          </w:p>
        </w:tc>
        <w:tc>
          <w:tcPr>
            <w:tcW w:type="dxa" w:w="3286"/>
            <w:shd w:fill="19486B"/>
          </w:tcPr>
          <w:p>
            <w:r>
              <w:rPr>
                <w:b/>
                <w:color w:val="FFFFFF"/>
                <w:sz w:val="17"/>
              </w:rPr>
              <w:t>Empresa C · EcoCircuit</w:t>
            </w:r>
          </w:p>
        </w:tc>
        <w:tc>
          <w:tcPr>
            <w:tcW w:type="dxa" w:w="3286"/>
            <w:shd w:fill="19486B"/>
          </w:tcPr>
          <w:p>
            <w:r>
              <w:rPr>
                <w:b/>
                <w:color w:val="FFFFFF"/>
                <w:sz w:val="17"/>
              </w:rPr>
              <w:t>Empresa D · ByteNova</w:t>
            </w:r>
          </w:p>
        </w:tc>
      </w:tr>
      <w:tr>
        <w:tc>
          <w:tcPr>
            <w:tcW w:type="dxa" w:w="3286"/>
            <w:vAlign w:val="center"/>
            <w:shd w:fill="EAF2F7"/>
          </w:tcPr>
          <w:p>
            <w:r>
              <w:rPr>
                <w:sz w:val="17"/>
              </w:rPr>
              <w:t>Actividad</w:t>
            </w:r>
          </w:p>
        </w:tc>
        <w:tc>
          <w:tcPr>
            <w:tcW w:type="dxa" w:w="3286"/>
            <w:vAlign w:val="center"/>
            <w:shd w:fill="EAF2F7"/>
          </w:tcPr>
          <w:p>
            <w:r>
              <w:rPr>
                <w:sz w:val="17"/>
              </w:rPr>
              <w:t>Reparación y reacondicionamiento de equipos informáticos.</w:t>
            </w:r>
          </w:p>
        </w:tc>
        <w:tc>
          <w:tcPr>
            <w:tcW w:type="dxa" w:w="3286"/>
            <w:vAlign w:val="center"/>
            <w:shd w:fill="EAF2F7"/>
          </w:tcPr>
          <w:p>
            <w:r>
              <w:rPr>
                <w:sz w:val="17"/>
              </w:rPr>
              <w:t>Fabricación y venta de accesorios y periféricos.</w:t>
            </w:r>
          </w:p>
        </w:tc>
      </w:tr>
      <w:tr>
        <w:tc>
          <w:tcPr>
            <w:tcW w:type="dxa" w:w="3286"/>
            <w:vAlign w:val="center"/>
          </w:tcPr>
          <w:p>
            <w:r>
              <w:rPr>
                <w:sz w:val="17"/>
              </w:rPr>
              <w:t>Recursos y residuos</w:t>
            </w:r>
          </w:p>
        </w:tc>
        <w:tc>
          <w:tcPr>
            <w:tcW w:type="dxa" w:w="3286"/>
            <w:vAlign w:val="center"/>
          </w:tcPr>
          <w:p>
            <w:r>
              <w:rPr>
                <w:sz w:val="17"/>
              </w:rPr>
              <w:t>Declara 1.200 equipos reacondicionados al año; no detalla cómo mide los residuos evitados.</w:t>
            </w:r>
          </w:p>
        </w:tc>
        <w:tc>
          <w:tcPr>
            <w:tcW w:type="dxa" w:w="3286"/>
            <w:vAlign w:val="center"/>
          </w:tcPr>
          <w:p>
            <w:r>
              <w:rPr>
                <w:sz w:val="17"/>
              </w:rPr>
              <w:t>Ofrece sustitución frecuente de productos; no publica datos de recogida o reciclaje.</w:t>
            </w:r>
          </w:p>
        </w:tc>
      </w:tr>
      <w:tr>
        <w:tc>
          <w:tcPr>
            <w:tcW w:type="dxa" w:w="3286"/>
            <w:vAlign w:val="center"/>
            <w:shd w:fill="EAF2F7"/>
          </w:tcPr>
          <w:p>
            <w:r>
              <w:rPr>
                <w:sz w:val="17"/>
              </w:rPr>
              <w:t>Energía</w:t>
            </w:r>
          </w:p>
        </w:tc>
        <w:tc>
          <w:tcPr>
            <w:tcW w:type="dxa" w:w="3286"/>
            <w:vAlign w:val="center"/>
            <w:shd w:fill="EAF2F7"/>
          </w:tcPr>
          <w:p>
            <w:r>
              <w:rPr>
                <w:sz w:val="17"/>
              </w:rPr>
              <w:t>Publica consumo eléctrico anual y objetivos de reducción.</w:t>
            </w:r>
          </w:p>
        </w:tc>
        <w:tc>
          <w:tcPr>
            <w:tcW w:type="dxa" w:w="3286"/>
            <w:vAlign w:val="center"/>
            <w:shd w:fill="EAF2F7"/>
          </w:tcPr>
          <w:p>
            <w:r>
              <w:rPr>
                <w:sz w:val="17"/>
              </w:rPr>
              <w:t>Afirma usar «tecnología verde», sin informar sobre energía consumida.</w:t>
            </w:r>
          </w:p>
        </w:tc>
      </w:tr>
      <w:tr>
        <w:tc>
          <w:tcPr>
            <w:tcW w:type="dxa" w:w="3286"/>
            <w:vAlign w:val="center"/>
          </w:tcPr>
          <w:p>
            <w:r>
              <w:rPr>
                <w:sz w:val="17"/>
              </w:rPr>
              <w:t>Personal</w:t>
            </w:r>
          </w:p>
        </w:tc>
        <w:tc>
          <w:tcPr>
            <w:tcW w:type="dxa" w:w="3286"/>
            <w:vAlign w:val="center"/>
          </w:tcPr>
          <w:p>
            <w:r>
              <w:rPr>
                <w:sz w:val="17"/>
              </w:rPr>
              <w:t>Publica horas de formación y un protocolo de seguridad laboral.</w:t>
            </w:r>
          </w:p>
        </w:tc>
        <w:tc>
          <w:tcPr>
            <w:tcW w:type="dxa" w:w="3286"/>
            <w:vAlign w:val="center"/>
          </w:tcPr>
          <w:p>
            <w:r>
              <w:rPr>
                <w:sz w:val="17"/>
              </w:rPr>
              <w:t>No facilita información sobre formación ni condiciones de sus proveedores.</w:t>
            </w:r>
          </w:p>
        </w:tc>
      </w:tr>
      <w:tr>
        <w:tc>
          <w:tcPr>
            <w:tcW w:type="dxa" w:w="3286"/>
            <w:vAlign w:val="center"/>
            <w:shd w:fill="EAF2F7"/>
          </w:tcPr>
          <w:p>
            <w:r>
              <w:rPr>
                <w:sz w:val="17"/>
              </w:rPr>
              <w:t>Transparencia</w:t>
            </w:r>
          </w:p>
        </w:tc>
        <w:tc>
          <w:tcPr>
            <w:tcW w:type="dxa" w:w="3286"/>
            <w:vAlign w:val="center"/>
            <w:shd w:fill="EAF2F7"/>
          </w:tcPr>
          <w:p>
            <w:r>
              <w:rPr>
                <w:sz w:val="17"/>
              </w:rPr>
              <w:t>Aporta algunos datos medibles, aunque faltan verificaciones externas.</w:t>
            </w:r>
          </w:p>
        </w:tc>
        <w:tc>
          <w:tcPr>
            <w:tcW w:type="dxa" w:w="3286"/>
            <w:vAlign w:val="center"/>
            <w:shd w:fill="EAF2F7"/>
          </w:tcPr>
          <w:p>
            <w:r>
              <w:rPr>
                <w:sz w:val="17"/>
              </w:rPr>
              <w:t>Predominan mensajes publicitarios sin metodología ni indicadores.</w:t>
            </w:r>
          </w:p>
        </w:tc>
      </w:tr>
    </w:tbl>
    <w:p/>
    <w:p>
      <w:pPr>
        <w:pStyle w:val="Heading1"/>
      </w:pPr>
      <w:r>
        <w:t>2. Parte A · Sostenibilidad y marcos internacionales</w:t>
      </w:r>
    </w:p>
    <w:p>
      <w:pPr>
        <w:pStyle w:val="Heading2"/>
      </w:pPr>
      <w:r>
        <w:t>1. ¿Qué significa desarrollo sostenible?</w:t>
      </w:r>
    </w:p>
    <w:p>
      <w:r>
        <w:t>El desarrollo sostenible consiste en satisfacer las necesidades actuales sin comprometer la capacidad de las generaciones futuras para satisfacer las suyas. Exige considerar conjuntamente las consecuencias ambientales, sociales y económicas de nuestras decisiones. En el sector TIC, por ejemplo, no basta con vender más dispositivos: también importa cómo se fabrican, cuánto duran, qué residuos generan y en qué condiciones trabajan las personas.</w:t>
      </w:r>
    </w:p>
    <w:p>
      <w:pPr>
        <w:pStyle w:val="Heading2"/>
      </w:pPr>
      <w:r>
        <w:t>2. ¿Qué son la Agenda 2030 y los ODS?</w:t>
      </w:r>
    </w:p>
    <w:p>
      <w:r>
        <w:t>La Agenda 2030 es un acuerdo internacional adoptado por Naciones Unidas en 2015 que establece 17 Objetivos de Desarrollo Sostenible (ODS). Sirven de orientación para afrontar retos como la desigualdad, el trabajo digno, el consumo de recursos y el cambio climático. No constituyen por sí mismos una certificación de que una empresa sea sostenible.</w:t>
      </w:r>
    </w:p>
    <w:p>
      <w:pPr>
        <w:pStyle w:val="Heading2"/>
      </w:pPr>
      <w:r>
        <w:t>3. Elegid dos ODS relevantes y justificadlos</w:t>
      </w:r>
    </w:p>
    <w:tbl>
      <w:tblPr>
        <w:tblStyle w:val="TableGrid"/>
        <w:tblW w:type="auto" w:w="0"/>
        <w:jc w:val="center"/>
        <w:tblLook w:firstColumn="1" w:firstRow="1" w:lastColumn="0" w:lastRow="0" w:noHBand="0" w:noVBand="1" w:val="04A0"/>
      </w:tblPr>
      <w:tblGrid>
        <w:gridCol w:w="4929"/>
        <w:gridCol w:w="4929"/>
      </w:tblGrid>
      <w:tr>
        <w:tc>
          <w:tcPr>
            <w:tcW w:type="dxa" w:w="4929"/>
            <w:shd w:fill="19486B"/>
          </w:tcPr>
          <w:p>
            <w:r>
              <w:rPr>
                <w:b/>
                <w:color w:val="FFFFFF"/>
                <w:sz w:val="17"/>
              </w:rPr>
              <w:t>ODS</w:t>
            </w:r>
          </w:p>
        </w:tc>
        <w:tc>
          <w:tcPr>
            <w:tcW w:type="dxa" w:w="4929"/>
            <w:shd w:fill="19486B"/>
          </w:tcPr>
          <w:p>
            <w:r>
              <w:rPr>
                <w:b/>
                <w:color w:val="FFFFFF"/>
                <w:sz w:val="17"/>
              </w:rPr>
              <w:t>Relación con las empresas</w:t>
            </w:r>
          </w:p>
        </w:tc>
      </w:tr>
      <w:tr>
        <w:tc>
          <w:tcPr>
            <w:tcW w:type="dxa" w:w="4929"/>
            <w:vAlign w:val="center"/>
            <w:shd w:fill="EAF2F7"/>
          </w:tcPr>
          <w:p>
            <w:r>
              <w:rPr>
                <w:sz w:val="17"/>
              </w:rPr>
              <w:t>ODS 12 · Producción y consumo responsables</w:t>
            </w:r>
          </w:p>
        </w:tc>
        <w:tc>
          <w:tcPr>
            <w:tcW w:type="dxa" w:w="4929"/>
            <w:vAlign w:val="center"/>
            <w:shd w:fill="EAF2F7"/>
          </w:tcPr>
          <w:p>
            <w:r>
              <w:rPr>
                <w:sz w:val="17"/>
              </w:rPr>
              <w:t>EcoCircuit puede contribuir al prolongar la vida útil de equipos y reducir la necesidad de fabricar otros nuevos. ByteNova debería informar sobre durabilidad, reparación y gestión de residuos.</w:t>
            </w:r>
          </w:p>
        </w:tc>
      </w:tr>
      <w:tr>
        <w:tc>
          <w:tcPr>
            <w:tcW w:type="dxa" w:w="4929"/>
            <w:vAlign w:val="center"/>
          </w:tcPr>
          <w:p>
            <w:r>
              <w:rPr>
                <w:sz w:val="17"/>
              </w:rPr>
              <w:t>ODS 8 · Trabajo decente y crecimiento económico</w:t>
            </w:r>
          </w:p>
        </w:tc>
        <w:tc>
          <w:tcPr>
            <w:tcW w:type="dxa" w:w="4929"/>
            <w:vAlign w:val="center"/>
          </w:tcPr>
          <w:p>
            <w:r>
              <w:rPr>
                <w:sz w:val="17"/>
              </w:rPr>
              <w:t>Ambas empresas deben garantizar condiciones laborales adecuadas, también en sus cadenas de suministro. EcoCircuit publica algunas medidas, pero sería necesario comprobar su aplicación.</w:t>
            </w:r>
          </w:p>
        </w:tc>
      </w:tr>
    </w:tbl>
    <w:p/>
    <w:p>
      <w:pPr>
        <w:pStyle w:val="Heading1"/>
      </w:pPr>
      <w:r>
        <w:t>3. Parte B · Inversión socialmente responsable (ISR)</w:t>
      </w:r>
    </w:p>
    <w:p>
      <w:pPr>
        <w:pStyle w:val="Heading2"/>
      </w:pPr>
      <w:r>
        <w:t>4. ¿Qué es la ISR y en qué se diferencia de fijarse solo en la rentabilidad?</w:t>
      </w:r>
    </w:p>
    <w:p>
      <w:r>
        <w:t>La inversión socialmente responsable incorpora criterios ambientales, sociales y de gobernanza (ASG) al análisis de una inversión, junto con los factores financieros. Una persona que solo considere la posible rentabilidad podría centrarse en beneficios y crecimiento; una que aplique ISR también examinaría residuos, condiciones laborales, transparencia y riesgos asociados. Tener buenos indicadores ASG no garantiza beneficios económicos ni ausencia de riesgos.</w:t>
      </w:r>
    </w:p>
    <w:p>
      <w:pPr>
        <w:pStyle w:val="Heading2"/>
      </w:pPr>
      <w:r>
        <w:t>5. ¿Qué función tienen los agentes de la ISR?</w:t>
      </w:r>
    </w:p>
    <w:tbl>
      <w:tblPr>
        <w:tblStyle w:val="TableGrid"/>
        <w:tblW w:type="auto" w:w="0"/>
        <w:jc w:val="center"/>
        <w:tblLook w:firstColumn="1" w:firstRow="1" w:lastColumn="0" w:lastRow="0" w:noHBand="0" w:noVBand="1" w:val="04A0"/>
      </w:tblPr>
      <w:tblGrid>
        <w:gridCol w:w="4929"/>
        <w:gridCol w:w="4929"/>
      </w:tblGrid>
      <w:tr>
        <w:tc>
          <w:tcPr>
            <w:tcW w:type="dxa" w:w="4929"/>
            <w:shd w:fill="19486B"/>
          </w:tcPr>
          <w:p>
            <w:r>
              <w:rPr>
                <w:b/>
                <w:color w:val="FFFFFF"/>
                <w:sz w:val="17"/>
              </w:rPr>
              <w:t>Agente</w:t>
            </w:r>
          </w:p>
        </w:tc>
        <w:tc>
          <w:tcPr>
            <w:tcW w:type="dxa" w:w="4929"/>
            <w:shd w:fill="19486B"/>
          </w:tcPr>
          <w:p>
            <w:r>
              <w:rPr>
                <w:b/>
                <w:color w:val="FFFFFF"/>
                <w:sz w:val="17"/>
              </w:rPr>
              <w:t>Función y aplicación al caso</w:t>
            </w:r>
          </w:p>
        </w:tc>
      </w:tr>
      <w:tr>
        <w:tc>
          <w:tcPr>
            <w:tcW w:type="dxa" w:w="4929"/>
            <w:vAlign w:val="center"/>
            <w:shd w:fill="EAF2F7"/>
          </w:tcPr>
          <w:p>
            <w:r>
              <w:rPr>
                <w:sz w:val="17"/>
              </w:rPr>
              <w:t>Inversores</w:t>
            </w:r>
          </w:p>
        </w:tc>
        <w:tc>
          <w:tcPr>
            <w:tcW w:type="dxa" w:w="4929"/>
            <w:vAlign w:val="center"/>
            <w:shd w:fill="EAF2F7"/>
          </w:tcPr>
          <w:p>
            <w:r>
              <w:rPr>
                <w:sz w:val="17"/>
              </w:rPr>
              <w:t>Deciden si aportan capital y qué importancia conceden a la rentabilidad, los riesgos y los criterios ASG.</w:t>
            </w:r>
          </w:p>
        </w:tc>
      </w:tr>
      <w:tr>
        <w:tc>
          <w:tcPr>
            <w:tcW w:type="dxa" w:w="4929"/>
            <w:vAlign w:val="center"/>
          </w:tcPr>
          <w:p>
            <w:r>
              <w:rPr>
                <w:sz w:val="17"/>
              </w:rPr>
              <w:t>Analistas</w:t>
            </w:r>
          </w:p>
        </w:tc>
        <w:tc>
          <w:tcPr>
            <w:tcW w:type="dxa" w:w="4929"/>
            <w:vAlign w:val="center"/>
          </w:tcPr>
          <w:p>
            <w:r>
              <w:rPr>
                <w:sz w:val="17"/>
              </w:rPr>
              <w:t>Revisan información financiera y de sostenibilidad, comparan indicadores y detectan lagunas o incoherencias.</w:t>
            </w:r>
          </w:p>
        </w:tc>
      </w:tr>
      <w:tr>
        <w:tc>
          <w:tcPr>
            <w:tcW w:type="dxa" w:w="4929"/>
            <w:vAlign w:val="center"/>
            <w:shd w:fill="EAF2F7"/>
          </w:tcPr>
          <w:p>
            <w:r>
              <w:rPr>
                <w:sz w:val="17"/>
              </w:rPr>
              <w:t>Agencias de calificación de sostenibilidad</w:t>
            </w:r>
          </w:p>
        </w:tc>
        <w:tc>
          <w:tcPr>
            <w:tcW w:type="dxa" w:w="4929"/>
            <w:vAlign w:val="center"/>
            <w:shd w:fill="EAF2F7"/>
          </w:tcPr>
          <w:p>
            <w:r>
              <w:rPr>
                <w:sz w:val="17"/>
              </w:rPr>
              <w:t>Valoran el desempeño o los riesgos ASG según su metodología. Sus valoraciones pueden diferir y no sustituyen la revisión de los datos.</w:t>
            </w:r>
          </w:p>
        </w:tc>
      </w:tr>
      <w:tr>
        <w:tc>
          <w:tcPr>
            <w:tcW w:type="dxa" w:w="4929"/>
            <w:vAlign w:val="center"/>
          </w:tcPr>
          <w:p>
            <w:r>
              <w:rPr>
                <w:sz w:val="17"/>
              </w:rPr>
              <w:t>Índices de sostenibilidad</w:t>
            </w:r>
          </w:p>
        </w:tc>
        <w:tc>
          <w:tcPr>
            <w:tcW w:type="dxa" w:w="4929"/>
            <w:vAlign w:val="center"/>
          </w:tcPr>
          <w:p>
            <w:r>
              <w:rPr>
                <w:sz w:val="17"/>
              </w:rPr>
              <w:t>Seleccionan o siguen conjuntos de empresas según reglas predefinidas; pertenecer a uno no demuestra que una empresa carezca de impactos.</w:t>
            </w:r>
          </w:p>
        </w:tc>
      </w:tr>
    </w:tbl>
    <w:p/>
    <w:p>
      <w:pPr>
        <w:pStyle w:val="Heading1"/>
      </w:pPr>
      <w:r>
        <w:t>4. Parte C · Comparación y decisión razonada</w:t>
      </w:r>
    </w:p>
    <w:p>
      <w:pPr>
        <w:pStyle w:val="Heading2"/>
      </w:pPr>
      <w:r>
        <w:t>6. ¿Qué datos son útiles y cuáles faltan?</w:t>
      </w:r>
    </w:p>
    <w:p>
      <w:r>
        <w:t>EcoCircuit ofrece cifras de equipos reacondicionados, consumo eléctrico y formación. Son útiles porque permiten formular preguntas y seguir la evolución. Sin embargo, faltan el periodo exacto y método de cálculo de algunos datos, cifras de residuos realmente gestionados, información sobre proveedores y verificación independiente. ByteNova no publica información suficiente sobre consumo, residuos, durabilidad ni condiciones laborales: sus afirmaciones generales son difíciles de comprobar.</w:t>
      </w:r>
    </w:p>
    <w:p>
      <w:pPr>
        <w:pStyle w:val="Heading2"/>
      </w:pPr>
      <w:r>
        <w:t>7. ¿Cuál presenta información más verificable? Justificad</w:t>
      </w:r>
    </w:p>
    <w:p>
      <w:r>
        <w:t>Elegiríamos EcoCircuit como candidata para seguir estudiando, porque comunica indicadores concretos y prácticas relacionadas con la reparación y la seguridad laboral. No afirmaríamos que es definitivamente más sostenible ni invertiríamos de inmediato: habría que verificar la calidad de sus datos y analizar su situación económica. ByteNova podría mejorar, pero con la información disponible no es posible contrastar sus mensajes ambientales.</w:t>
      </w:r>
    </w:p>
    <w:p>
      <w:pPr>
        <w:pStyle w:val="Heading2"/>
      </w:pPr>
      <w:r>
        <w:t>8. Proponed dos indicadores adicionales</w:t>
      </w:r>
    </w:p>
    <w:tbl>
      <w:tblPr>
        <w:tblStyle w:val="TableGrid"/>
        <w:tblW w:type="auto" w:w="0"/>
        <w:jc w:val="center"/>
        <w:tblLook w:firstColumn="1" w:firstRow="1" w:lastColumn="0" w:lastRow="0" w:noHBand="0" w:noVBand="1" w:val="04A0"/>
      </w:tblPr>
      <w:tblGrid>
        <w:gridCol w:w="4929"/>
        <w:gridCol w:w="4929"/>
      </w:tblGrid>
      <w:tr>
        <w:tc>
          <w:tcPr>
            <w:tcW w:type="dxa" w:w="4929"/>
            <w:shd w:fill="19486B"/>
          </w:tcPr>
          <w:p>
            <w:r>
              <w:rPr>
                <w:b/>
                <w:color w:val="FFFFFF"/>
                <w:sz w:val="17"/>
              </w:rPr>
              <w:t>Indicador solicitado</w:t>
            </w:r>
          </w:p>
        </w:tc>
        <w:tc>
          <w:tcPr>
            <w:tcW w:type="dxa" w:w="4929"/>
            <w:shd w:fill="19486B"/>
          </w:tcPr>
          <w:p>
            <w:r>
              <w:rPr>
                <w:b/>
                <w:color w:val="FFFFFF"/>
                <w:sz w:val="17"/>
              </w:rPr>
              <w:t>Cómo se mediría y por qué sirve</w:t>
            </w:r>
          </w:p>
        </w:tc>
      </w:tr>
      <w:tr>
        <w:tc>
          <w:tcPr>
            <w:tcW w:type="dxa" w:w="4929"/>
            <w:vAlign w:val="center"/>
            <w:shd w:fill="EAF2F7"/>
          </w:tcPr>
          <w:p>
            <w:r>
              <w:rPr>
                <w:sz w:val="17"/>
              </w:rPr>
              <w:t>Porcentaje de equipos reacondicionados que siguen funcionando 12 meses después de su venta</w:t>
            </w:r>
          </w:p>
        </w:tc>
        <w:tc>
          <w:tcPr>
            <w:tcW w:type="dxa" w:w="4929"/>
            <w:vAlign w:val="center"/>
            <w:shd w:fill="EAF2F7"/>
          </w:tcPr>
          <w:p>
            <w:r>
              <w:rPr>
                <w:sz w:val="17"/>
              </w:rPr>
              <w:t>(Equipos operativos al cabo de 12 meses / equipos vendidos reacondicionados en ese periodo) × 100. Ayuda a valorar durabilidad y calidad.</w:t>
            </w:r>
          </w:p>
        </w:tc>
      </w:tr>
      <w:tr>
        <w:tc>
          <w:tcPr>
            <w:tcW w:type="dxa" w:w="4929"/>
            <w:vAlign w:val="center"/>
          </w:tcPr>
          <w:p>
            <w:r>
              <w:rPr>
                <w:sz w:val="17"/>
              </w:rPr>
              <w:t>Porcentaje de proveedores evaluados con criterios laborales</w:t>
            </w:r>
          </w:p>
        </w:tc>
        <w:tc>
          <w:tcPr>
            <w:tcW w:type="dxa" w:w="4929"/>
            <w:vAlign w:val="center"/>
          </w:tcPr>
          <w:p>
            <w:r>
              <w:rPr>
                <w:sz w:val="17"/>
              </w:rPr>
              <w:t>(Proveedores evaluados / total de proveedores activos) × 100. Permite comprobar el alcance de la supervisión social.</w:t>
            </w:r>
          </w:p>
        </w:tc>
      </w:tr>
    </w:tbl>
    <w:p/>
    <w:p>
      <w:pPr>
        <w:pStyle w:val="Heading1"/>
      </w:pPr>
      <w:r>
        <w:t>5. Conclusión del grupo</w:t>
      </w:r>
    </w:p>
    <w:p>
      <w:r>
        <w:t>Nuestra comparación favorece provisionalmente a EcoCircuit por ofrecer información más concreta y vinculada con la prolongación de la vida útil de los equipos. No obstante, la transparencia no equivale automáticamente a sostenibilidad: necesitamos comprobar las cifras, valorar posibles impactos negativos y analizar también los riesgos financieros. La ISR requiere decisiones justificadas con evidencias, no con eslóganes.</w:t>
      </w:r>
    </w:p>
    <w:p>
      <w:pPr>
        <w:pStyle w:val="Heading1"/>
      </w:pPr>
      <w:r>
        <w:t>6. Fuentes consultadas (ejemplo)</w:t>
      </w:r>
    </w:p>
    <w:p>
      <w:r>
        <w:t>• Naciones Unidas. Objetivos de Desarrollo Sostenible: https://www.un.org/sustainabledevelopment/es/objetivos-de-desarrollo-sostenible/</w:t>
      </w:r>
    </w:p>
    <w:p>
      <w:r>
        <w:t>• Comisión Europea. Finanzas sostenibles: https://finance.ec.europa.eu/sustainable-finance_en</w:t>
      </w:r>
    </w:p>
    <w:p>
      <w:r>
        <w:t>Nota: estas fuentes sirven para los conceptos de Agenda 2030 y finanzas sostenibles. Los datos de EcoCircuit y ByteNova son inventados para el ejercicio y no proceden de esas páginas.</w:t>
      </w:r>
    </w:p>
    <w:p>
      <w:pPr>
        <w:pStyle w:val="Heading1"/>
      </w:pPr>
      <w:r>
        <w:t>7. Comprobación antes de entregar</w:t>
      </w:r>
    </w:p>
    <w:p>
      <w:r>
        <w:t>✓ Hemos respondido las ocho preguntas.  ✓ Hemos justificado dos ODS.  ✓ Diferenciamos inversor, analista, agencia e índice.  ✓ Nuestra elección reconoce los datos que faltan.  ✓ Los indicadores son medibles.  ✓ Incluimos fuentes.</w:t>
      </w:r>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UT1 · Ejemplo de actividad resuelta · 2.º DAM · Curso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B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B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