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9C3B1B"/>
          <w:sz w:val="36"/>
        </w:rPr>
        <w:t>Valuation Studio — Guía rápida</w:t>
      </w:r>
    </w:p>
    <w:p>
      <w:pPr>
        <w:spacing w:after="120"/>
      </w:pPr>
      <w:r>
        <w:rPr>
          <w:i/>
          <w:color w:val="555555"/>
          <w:sz w:val="21"/>
        </w:rPr>
        <w:t>Tu Excel de valoración de empresas, convertido en una app que se actualiza sola</w:t>
      </w:r>
    </w:p>
    <w:p>
      <w:pPr>
        <w:spacing w:after="80" w:line="252" w:lineRule="auto"/>
      </w:pPr>
      <w:r>
        <w:rPr>
          <w:sz w:val="20"/>
        </w:rPr>
        <w:t>Valuation Studio nace de un Excel donde introducías a mano datos fundamentales y precios para obtener ratios que te dicen si una acción está cara o barata. La app hace lo mismo, pero ingiere los datos automáticamente (Yahoo Finance), aplica TUS fórmulas y los mantiene siempre frescos. Tiene dos grandes mitades: un módulo CUANTITATIVO (números y ratios) y un módulo CUALITATIVO con IA (el «Thesis Engine»: tendencias, drivers de crecimiento y tesis de inversión).</w:t>
      </w:r>
    </w:p>
    <w:p>
      <w:pPr>
        <w:spacing w:before="160" w:after="40"/>
      </w:pPr>
      <w:r>
        <w:rPr>
          <w:b/>
          <w:color w:val="9C3B1B"/>
          <w:sz w:val="24"/>
        </w:rPr>
        <w:t>1. ¿Qué puedes hacer? (las pantallas)</w:t>
      </w:r>
    </w:p>
    <w:p>
      <w:pPr>
        <w:pStyle w:val="ListBullet"/>
        <w:spacing w:after="40" w:line="240" w:lineRule="auto"/>
      </w:pPr>
      <w:r>
        <w:rPr>
          <w:b/>
          <w:sz w:val="20"/>
        </w:rPr>
        <w:t xml:space="preserve">Empresa: </w:t>
      </w:r>
      <w:r>
        <w:rPr>
          <w:sz w:val="20"/>
        </w:rPr>
        <w:t>busca cualquier ticker (AAPL, SAP.DE, SAN.MC…) y ves sus KPIs, ratios clásicos, métricas de crecimiento, gráficos de ingresos/FCF y los precios objetivo POC/POV. Puedes editar los inputs a mano y recalcular en vivo.</w:t>
      </w:r>
    </w:p>
    <w:p>
      <w:pPr>
        <w:pStyle w:val="ListBullet"/>
        <w:spacing w:after="40" w:line="240" w:lineRule="auto"/>
      </w:pPr>
      <w:r>
        <w:rPr>
          <w:b/>
          <w:sz w:val="20"/>
        </w:rPr>
        <w:t xml:space="preserve">Watchlist: </w:t>
      </w:r>
      <w:r>
        <w:rPr>
          <w:sz w:val="20"/>
        </w:rPr>
        <w:t>lista de seguimiento con snapshots manuales (guardas tus propios ajustes) y alertas por fila (campana) cuando una empresa cruza de cara a barata.</w:t>
      </w:r>
    </w:p>
    <w:p>
      <w:pPr>
        <w:pStyle w:val="ListBullet"/>
        <w:spacing w:after="40" w:line="240" w:lineRule="auto"/>
      </w:pPr>
      <w:r>
        <w:rPr>
          <w:b/>
          <w:sz w:val="20"/>
        </w:rPr>
        <w:t xml:space="preserve">Cartera: </w:t>
      </w:r>
      <w:r>
        <w:rPr>
          <w:sz w:val="20"/>
        </w:rPr>
        <w:t>tus posiciones reales con P/L vivo, P/L % y KPIs totales; también posiciones de «solo seguimiento».</w:t>
      </w:r>
    </w:p>
    <w:p>
      <w:pPr>
        <w:pStyle w:val="ListBullet"/>
        <w:spacing w:after="40" w:line="240" w:lineRule="auto"/>
      </w:pPr>
      <w:r>
        <w:rPr>
          <w:b/>
          <w:sz w:val="20"/>
        </w:rPr>
        <w:t xml:space="preserve">Comparar: </w:t>
      </w:r>
      <w:r>
        <w:rPr>
          <w:sz w:val="20"/>
        </w:rPr>
        <w:t>hasta 6 empresas lado a lado.</w:t>
      </w:r>
    </w:p>
    <w:p>
      <w:pPr>
        <w:pStyle w:val="ListBullet"/>
        <w:spacing w:after="40" w:line="240" w:lineRule="auto"/>
      </w:pPr>
      <w:r>
        <w:rPr>
          <w:b/>
          <w:sz w:val="20"/>
        </w:rPr>
        <w:t xml:space="preserve">Tesis (Thesis Engine): </w:t>
      </w:r>
      <w:r>
        <w:rPr>
          <w:sz w:val="20"/>
        </w:rPr>
        <w:t>el cerebro cualitativo: explora tendencias, genera tesis de inversión por empresa y agrupa todo en «Megatesis». Más detalle abajo.</w:t>
      </w:r>
    </w:p>
    <w:p>
      <w:pPr>
        <w:spacing w:before="160" w:after="40"/>
      </w:pPr>
      <w:r>
        <w:rPr>
          <w:b/>
          <w:color w:val="9C3B1B"/>
          <w:sz w:val="24"/>
        </w:rPr>
        <w:t>2. Los ratios y por qué existen</w:t>
      </w:r>
    </w:p>
    <w:p>
      <w:pPr>
        <w:spacing w:after="80" w:line="252" w:lineRule="auto"/>
      </w:pPr>
      <w:r>
        <w:rPr>
          <w:sz w:val="20"/>
        </w:rPr>
        <w:t>Todo gira en torno a dos precios objetivo calculados con TUS fórmulas:</w:t>
      </w:r>
    </w:p>
    <w:p>
      <w:pPr>
        <w:pStyle w:val="ListBullet"/>
        <w:spacing w:after="40" w:line="240" w:lineRule="auto"/>
      </w:pPr>
      <w:r>
        <w:rPr>
          <w:b/>
          <w:sz w:val="20"/>
        </w:rPr>
        <w:t xml:space="preserve">POC — Precio Objetivo de Compra: </w:t>
      </w:r>
      <w:r>
        <w:rPr>
          <w:sz w:val="20"/>
        </w:rPr>
        <w:t>estima lo que «vale» la acción hoy combinando ingresos por acción, margen bruto, caja libre frente a deuda y capitalización, y el crecimiento esperado de ingresos y FCF. Es tu ancla: si el precio actual está muy por debajo del POC, hay margen de compra.</w:t>
      </w:r>
    </w:p>
    <w:p>
      <w:pPr>
        <w:pStyle w:val="ListBullet"/>
        <w:spacing w:after="40" w:line="240" w:lineRule="auto"/>
      </w:pPr>
      <w:r>
        <w:rPr>
          <w:b/>
          <w:sz w:val="20"/>
        </w:rPr>
        <w:t xml:space="preserve">Ratio de Compra (%): </w:t>
      </w:r>
      <w:r>
        <w:rPr>
          <w:sz w:val="20"/>
        </w:rPr>
        <w:t>cuánto separa el precio actual del POC. Positivo y alto = potencialmente barata.</w:t>
      </w:r>
    </w:p>
    <w:p>
      <w:pPr>
        <w:pStyle w:val="ListBullet"/>
        <w:spacing w:after="40" w:line="240" w:lineRule="auto"/>
      </w:pPr>
      <w:r>
        <w:rPr>
          <w:b/>
          <w:sz w:val="20"/>
        </w:rPr>
        <w:t xml:space="preserve">POV — Precio Objetivo de Venta: </w:t>
      </w:r>
      <w:r>
        <w:rPr>
          <w:sz w:val="20"/>
        </w:rPr>
        <w:t>el POC ajustado por el margen operativo; marca la zona donde la acción empieza a estar exigente.</w:t>
      </w:r>
    </w:p>
    <w:p>
      <w:pPr>
        <w:pStyle w:val="ListBullet"/>
        <w:spacing w:after="40" w:line="240" w:lineRule="auto"/>
      </w:pPr>
      <w:r>
        <w:rPr>
          <w:b/>
          <w:sz w:val="20"/>
        </w:rPr>
        <w:t xml:space="preserve">Ratio de Venta (%): </w:t>
      </w:r>
      <w:r>
        <w:rPr>
          <w:sz w:val="20"/>
        </w:rPr>
        <w:t>distancia del precio actual al POV; te avisa de cuándo el recorrido se agota.</w:t>
      </w:r>
    </w:p>
    <w:p>
      <w:pPr>
        <w:spacing w:after="80" w:line="252" w:lineRule="auto"/>
      </w:pPr>
      <w:r>
        <w:rPr>
          <w:sz w:val="20"/>
        </w:rPr>
        <w:t>Además verás ratios clásicos (P/E, PEG, P/B, P/S, EV/EBITDA, ROE, ROA, márgenes, deuda/equity…) y una sección de crecimiento (crecimiento de ingresos, CAGR, margen de FCF, Rule of 40 y año estimado de breakeven). Cada fila tiene un punto de salud verde/ámbar/rojo y un tooltip que explica qué mide y sus rangos «barato/normal/caro». Las proyecciones se generan solas, pero se avisa (en ámbar) cuando un crecimiento es tan extremo que conviene revisarlo a mano.</w:t>
      </w:r>
    </w:p>
    <w:p>
      <w:pPr>
        <w:spacing w:before="160" w:after="40"/>
      </w:pPr>
      <w:r>
        <w:rPr>
          <w:b/>
          <w:color w:val="9C3B1B"/>
          <w:sz w:val="24"/>
        </w:rPr>
        <w:t>3. El Thesis Engine: tendencias, drivers y tesis</w:t>
      </w:r>
    </w:p>
    <w:p>
      <w:pPr>
        <w:spacing w:after="80" w:line="252" w:lineRule="auto"/>
      </w:pPr>
      <w:r>
        <w:rPr>
          <w:sz w:val="20"/>
        </w:rPr>
        <w:t>Aquí la IA (vía Emergent LLM) busca información en vivo en la web y estructura el análisis. Conceptos clave:</w:t>
      </w:r>
    </w:p>
    <w:p>
      <w:pPr>
        <w:pStyle w:val="ListBullet"/>
        <w:spacing w:after="40" w:line="240" w:lineRule="auto"/>
      </w:pPr>
      <w:r>
        <w:rPr>
          <w:b/>
          <w:sz w:val="20"/>
        </w:rPr>
        <w:t xml:space="preserve">Tendencia: </w:t>
      </w:r>
      <w:r>
        <w:rPr>
          <w:sz w:val="20"/>
        </w:rPr>
        <w:t>un tema o megatendencia (IA, vehículos eléctricos, energía nuclear…). Al explorarla ves su cadena de valor con LÍDERES, COMPETIDORES y DISRUPTORES, además de su TAM (tamaño de mercado) y CAGR.</w:t>
      </w:r>
    </w:p>
    <w:p>
      <w:pPr>
        <w:pStyle w:val="ListBullet"/>
        <w:spacing w:after="40" w:line="240" w:lineRule="auto"/>
      </w:pPr>
      <w:r>
        <w:rPr>
          <w:b/>
          <w:sz w:val="20"/>
        </w:rPr>
        <w:t xml:space="preserve">Tesis: </w:t>
      </w:r>
      <w:r>
        <w:rPr>
          <w:sz w:val="20"/>
        </w:rPr>
        <w:t>una apuesta de alta convicción sobre un DRIVER DE CRECIMIENTO independiente de una empresa. Cada driver tiene su propio TAM que NO se solapa con otros, para no contar dos veces el mismo mercado. Se etiquetan como «Crecimiento actual» o «Apuesta futura».</w:t>
      </w:r>
    </w:p>
    <w:p>
      <w:pPr>
        <w:pStyle w:val="ListBullet"/>
        <w:spacing w:after="40" w:line="240" w:lineRule="auto"/>
      </w:pPr>
      <w:r>
        <w:rPr>
          <w:b/>
          <w:sz w:val="20"/>
        </w:rPr>
        <w:t xml:space="preserve">Planificar → Ejecutar: </w:t>
      </w:r>
      <w:r>
        <w:rPr>
          <w:sz w:val="20"/>
        </w:rPr>
        <w:t>primero organizas los drivers (fusionar parecidos, partir uno grande en sub-partes) hasta dejar el TAM 100% mutuamente excluyente; luego generas todas las tesis de golpe.</w:t>
      </w:r>
    </w:p>
    <w:p>
      <w:pPr>
        <w:pStyle w:val="ListBullet"/>
        <w:spacing w:after="40" w:line="240" w:lineRule="auto"/>
      </w:pPr>
      <w:r>
        <w:rPr>
          <w:b/>
          <w:sz w:val="20"/>
        </w:rPr>
        <w:t xml:space="preserve">Tendencia / Tesis automática: </w:t>
      </w:r>
      <w:r>
        <w:rPr>
          <w:sz w:val="20"/>
        </w:rPr>
        <w:t>botones que descubren temas emergentes por momentum para que no partas de cero.</w:t>
      </w:r>
    </w:p>
    <w:p>
      <w:pPr>
        <w:spacing w:before="160" w:after="40"/>
      </w:pPr>
      <w:r>
        <w:rPr>
          <w:b/>
          <w:color w:val="9C3B1B"/>
          <w:sz w:val="24"/>
        </w:rPr>
        <w:t>4. Los scores del Thesis Engine y su porqué</w:t>
      </w:r>
    </w:p>
    <w:p>
      <w:pPr>
        <w:pStyle w:val="ListBullet"/>
        <w:spacing w:after="40" w:line="240" w:lineRule="auto"/>
      </w:pPr>
      <w:r>
        <w:rPr>
          <w:b/>
          <w:sz w:val="20"/>
        </w:rPr>
        <w:t xml:space="preserve">Score global tendencia (0–100): </w:t>
      </w:r>
      <w:r>
        <w:rPr>
          <w:sz w:val="20"/>
        </w:rPr>
        <w:t>calidad cualitativa de la empresa dentro de una tendencia. Combina cuatro sub-scores: posición competitiva, momentum del sector, calidad del management y resiliencia financiera. Responde a «¿qué tan buena es esta empresa en este tema?».</w:t>
      </w:r>
    </w:p>
    <w:p>
      <w:pPr>
        <w:pStyle w:val="ListBullet"/>
        <w:spacing w:after="40" w:line="240" w:lineRule="auto"/>
      </w:pPr>
      <w:r>
        <w:rPr>
          <w:b/>
          <w:sz w:val="20"/>
        </w:rPr>
        <w:t xml:space="preserve">Probabilidad (0–10): </w:t>
      </w:r>
      <w:r>
        <w:rPr>
          <w:sz w:val="20"/>
        </w:rPr>
        <w:t>certeza de que la tendencia realmente ocurra, según la evidencia de las fuentes. Verde = muy probable. La «contratesis» mide la consecuencia derivada (quién pierde si la tendencia avanza).</w:t>
      </w:r>
    </w:p>
    <w:p>
      <w:pPr>
        <w:pStyle w:val="ListBullet"/>
        <w:spacing w:after="40" w:line="240" w:lineRule="auto"/>
      </w:pPr>
      <w:r>
        <w:rPr>
          <w:b/>
          <w:sz w:val="20"/>
        </w:rPr>
        <w:t xml:space="preserve">TAM Score: </w:t>
      </w:r>
      <w:r>
        <w:rPr>
          <w:sz w:val="20"/>
        </w:rPr>
        <w:t>el puente entre lo cualitativo y lo cuantitativo. Mezcla la calidad (score global) con el trozo de mercado (TAM del eslabón) que le toca a la empresa frente a sus ingresos proyectados. Mayor que 1 (verde) = la oportunidad es grande respecto a su tamaño actual; menor que 1 (ámbar) = más modesta. Sirve para priorizar de un vistazo dónde hay más recorrido.</w:t>
      </w:r>
    </w:p>
    <w:p>
      <w:pPr>
        <w:pStyle w:val="ListBullet"/>
        <w:spacing w:after="40" w:line="240" w:lineRule="auto"/>
      </w:pPr>
      <w:r>
        <w:rPr>
          <w:b/>
          <w:sz w:val="20"/>
        </w:rPr>
        <w:t xml:space="preserve">Win probability (0–10): </w:t>
      </w:r>
      <w:r>
        <w:rPr>
          <w:sz w:val="20"/>
        </w:rPr>
        <w:t>probabilidad de que la empresa sea ganadora en ese driver concreto; ayuda a ordenar las apuestas con más momentum.</w:t>
      </w:r>
    </w:p>
    <w:p>
      <w:pPr>
        <w:spacing w:before="160" w:after="40"/>
      </w:pPr>
      <w:r>
        <w:rPr>
          <w:b/>
          <w:color w:val="9C3B1B"/>
          <w:sz w:val="24"/>
        </w:rPr>
        <w:t>5. Cómo empezar en 5 minutos</w:t>
      </w:r>
    </w:p>
    <w:p>
      <w:pPr>
        <w:pStyle w:val="ListBullet"/>
        <w:spacing w:after="40" w:line="240" w:lineRule="auto"/>
      </w:pPr>
      <w:r>
        <w:rPr>
          <w:b/>
          <w:sz w:val="20"/>
        </w:rPr>
        <w:t xml:space="preserve">1: </w:t>
      </w:r>
      <w:r>
        <w:rPr>
          <w:sz w:val="20"/>
        </w:rPr>
        <w:t>Busca una empresa que conozcas y mira su POC, POV y los puntos de salud de los ratios.</w:t>
      </w:r>
    </w:p>
    <w:p>
      <w:pPr>
        <w:pStyle w:val="ListBullet"/>
        <w:spacing w:after="40" w:line="240" w:lineRule="auto"/>
      </w:pPr>
      <w:r>
        <w:rPr>
          <w:b/>
          <w:sz w:val="20"/>
        </w:rPr>
        <w:t xml:space="preserve">2: </w:t>
      </w:r>
      <w:r>
        <w:rPr>
          <w:sz w:val="20"/>
        </w:rPr>
        <w:t>Edita algún input (p. ej. el crecimiento) y pulsa recalcular para ver cómo se mueve el POC.</w:t>
      </w:r>
    </w:p>
    <w:p>
      <w:pPr>
        <w:pStyle w:val="ListBullet"/>
        <w:spacing w:after="40" w:line="240" w:lineRule="auto"/>
      </w:pPr>
      <w:r>
        <w:rPr>
          <w:b/>
          <w:sz w:val="20"/>
        </w:rPr>
        <w:t xml:space="preserve">3: </w:t>
      </w:r>
      <w:r>
        <w:rPr>
          <w:sz w:val="20"/>
        </w:rPr>
        <w:t>Añádela a tu Watchlist y activa la campana para recibir alertas cuando cruce a «barata».</w:t>
      </w:r>
    </w:p>
    <w:p>
      <w:pPr>
        <w:pStyle w:val="ListBullet"/>
        <w:spacing w:after="40" w:line="240" w:lineRule="auto"/>
      </w:pPr>
      <w:r>
        <w:rPr>
          <w:b/>
          <w:sz w:val="20"/>
        </w:rPr>
        <w:t xml:space="preserve">4: </w:t>
      </w:r>
      <w:r>
        <w:rPr>
          <w:sz w:val="20"/>
        </w:rPr>
        <w:t>Ve a «Tesis», explora una tendencia o genera una tesis desde una empresa y observa los scores.</w:t>
      </w:r>
    </w:p>
    <w:p>
      <w:pPr>
        <w:pStyle w:val="ListBullet"/>
        <w:spacing w:after="40" w:line="240" w:lineRule="auto"/>
      </w:pPr>
      <w:r>
        <w:rPr>
          <w:b/>
          <w:sz w:val="20"/>
        </w:rPr>
        <w:t xml:space="preserve">5: </w:t>
      </w:r>
      <w:r>
        <w:rPr>
          <w:sz w:val="20"/>
        </w:rPr>
        <w:t>Inicia sesión con Google para sincronizar watchlist, cartera y tesis entre dispositivos, y activa el Screener nocturno / Radar semanal por email.</w:t>
      </w:r>
    </w:p>
    <w:p>
      <w:pPr>
        <w:spacing w:before="160"/>
      </w:pPr>
      <w:r>
        <w:rPr>
          <w:i/>
          <w:color w:val="555555"/>
          <w:sz w:val="19"/>
        </w:rPr>
        <w:t>Idea clave: los números (POC/POV/ratios) te dicen si está BARATA; el Thesis Engine te dice si el negocio va a CRECER. Las mejores oportunidades aciertan en las dos cosas a la vez.</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