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eastAsiaTheme="minorHAnsi"/>
          <w:lang w:eastAsia="en-US"/>
        </w:rPr>
        <w:id w:val="212778207"/>
        <w:docPartObj>
          <w:docPartGallery w:val="Cover Pages"/>
          <w:docPartUnique/>
        </w:docPartObj>
      </w:sdtPr>
      <w:sdtContent>
        <w:p w:rsidR="006B22AA" w:rsidRDefault="00C933AA" w:rsidP="00D7475A">
          <w:pPr>
            <w:pStyle w:val="Sinespaciado"/>
            <w:jc w:val="both"/>
          </w:pPr>
          <w:r>
            <w:rPr>
              <w:noProof/>
            </w:rPr>
            <w:pict>
              <v:group id="Grupo 6" o:spid="_x0000_s1077"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">
                <v:rect id="Rectángulo 8" o:spid="_x0000_s1078" style="position:absolute;width:1945;height:9125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79" type="#_x0000_t15" style="position:absolute;top:14668;width:21945;height:552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" adj="18883" fillcolor="#4f81bd [3204]" stroked="f" strokeweight="2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0-12-17T00:00:00Z">
                            <w:dateFormat w:val="d-M-yyyy"/>
                            <w:lid w:val="es-ES"/>
                            <w:storeMappedDataAs w:val="dateTime"/>
                            <w:calendar w:val="gregorian"/>
                          </w:date>
                        </w:sdtPr>
                        <w:sdtContent>
                          <w:p w:rsidR="006B22AA" w:rsidRDefault="006B22AA">
                            <w:pPr>
                              <w:pStyle w:val="Sinespaciado"/>
                              <w:jc w:val="right"/>
                              <w:rPr>
                                <w:color w:val="FFFFFF" w:themeColor="background1"/>
                                <w:sz w:val="28"/>
                                <w:szCs w:val="28"/>
                              </w:rPr>
                            </w:pPr>
                            <w:r>
                              <w:rPr>
                                <w:color w:val="FFFFFF" w:themeColor="background1"/>
                                <w:sz w:val="28"/>
                                <w:szCs w:val="28"/>
                              </w:rPr>
                              <w:t>17-12-2020</w:t>
                            </w:r>
                          </w:p>
                        </w:sdtContent>
                      </w:sdt>
                    </w:txbxContent>
                  </v:textbox>
                </v:shape>
                <v:group id="Grupo 12" o:spid="_x0000_s108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upo 14" o:spid="_x0000_s108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o:lock v:ext="edit" aspectratio="t"/>
                    <v:shape id="Forma libre 20" o:spid="_x0000_s108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21" o:spid="_x0000_s108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22" o:spid="_x0000_s108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8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8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8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6" o:spid="_x0000_s108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7" o:spid="_x0000_s108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9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29" o:spid="_x0000_s109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0" o:spid="_x0000_s109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" path="m,l6,17,7,42,6,39,,23,,xe" fillcolor="#1f497d [3215]" strokecolor="#1f497d [3215]" strokeweight="0">
                      <v:path arrowok="t" o:connecttype="custom" o:connectlocs="0,0;9525,26988;11113,66675;9525,61913;0,36513;0,0" o:connectangles="0,0,0,0,0,0"/>
                    </v:shape>
                    <v:shape id="Forma libre 31" o:spid="_x0000_s109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8" o:spid="_x0000_s109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o:lock v:ext="edit" aspectratio="t"/>
                    <v:shape id="Forma libre 8" o:spid="_x0000_s109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9" o:spid="_x0000_s109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10" o:spid="_x0000_s109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12" o:spid="_x0000_s109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9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" path="m,l33,71r-9,l11,36,,xe" fillcolor="#1f497d [3215]" strokecolor="#1f497d [3215]" strokeweight="0">
                      <v:fill opacity="13107f"/>
                      <v:stroke opacity="13107f"/>
                      <v:path arrowok="t" o:connecttype="custom" o:connectlocs="0,0;52388,112713;38100,112713;17463,57150;0,0" o:connectangles="0,0,0,0,0"/>
                    </v:shape>
                    <v:shape id="Forma libre 14" o:spid="_x0000_s110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" path="m,l8,37r,4l15,95,4,49,,xe" fillcolor="#1f497d [3215]" strokecolor="#1f497d [3215]" strokeweight="0">
                      <v:fill opacity="13107f"/>
                      <v:stroke opacity="13107f"/>
                      <v:path arrowok="t" o:connecttype="custom" o:connectlocs="0,0;12700,58738;12700,65088;23813,150813;6350,77788;0,0" o:connectangles="0,0,0,0,0,0"/>
                    </v:shape>
                    <v:shape id="Forma libre 15" o:spid="_x0000_s110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10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10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" path="m,l31,66r-7,l,xe" fillcolor="#1f497d [3215]" strokecolor="#1f497d [3215]" strokeweight="0">
                      <v:fill opacity="13107f"/>
                      <v:stroke opacity="13107f"/>
                      <v:path arrowok="t" o:connecttype="custom" o:connectlocs="0,0;49213,104775;38100,104775;0,0" o:connectangles="0,0,0,0"/>
                    </v:shape>
                    <v:shape id="Forma libre 18" o:spid="_x0000_s110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" path="m,l7,17r,26l6,40,,25,,xe" fillcolor="#1f497d [3215]" strokecolor="#1f497d [3215]" strokeweight="0">
                      <v:fill opacity="13107f"/>
                      <v:stroke opacity="13107f"/>
                      <v:path arrowok="t" o:connecttype="custom" o:connectlocs="0,0;11113,26988;11113,68263;9525,63500;0,39688;0,0" o:connectangles="0,0,0,0,0,0"/>
                    </v:shape>
                    <v:shape id="Forma libre 19" o:spid="_x0000_s110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r>
            <w:rPr>
              <w:noProof/>
            </w:rPr>
            <w:pict>
              <v:shapetype id="_x0000_t202" coordsize="21600,21600" o:spt="202" path="m,l,21600r21600,l21600,xe">
                <v:stroke joinstyle="miter"/>
                <v:path gradientshapeok="t" o:connecttype="rect"/>
              </v:shapetype>
              <v:shape id="Cuadro de texto 32" o:spid="_x0000_s1076" type="#_x0000_t202" style="position:absolute;left:0;text-align:left;margin-left:0;margin-top:0;width:4in;height:28.8pt;z-index:251661312;visibility:visible;mso-width-percent:450;mso-left-percent:420;mso-top-percent:880;mso-position-horizontal-relative:page;mso-position-vertical-relative:page;mso-width-percent:450;mso-left-percent:420;mso-top-percent:88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" filled="f" stroked="f" strokeweight=".5pt">
                <v:textbox style="mso-fit-shape-to-text:t" inset="0,0,0,0">
                  <w:txbxContent>
                    <w:p w:rsidR="006B22AA" w:rsidRDefault="00C933AA">
                      <w:pPr>
                        <w:pStyle w:val="Sinespaciado"/>
                        <w:rPr>
                          <w:color w:val="4F81BD" w:themeColor="accent1"/>
                          <w:sz w:val="26"/>
                          <w:szCs w:val="26"/>
                        </w:rPr>
                      </w:pPr>
                      <w:sdt>
                        <w:sdtPr>
                          <w:rPr>
                            <w:color w:val="4F81BD"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E53E2">
                            <w:rPr>
                              <w:color w:val="4F81BD" w:themeColor="accent1"/>
                              <w:sz w:val="26"/>
                              <w:szCs w:val="26"/>
                            </w:rPr>
                            <w:t>Daw2</w:t>
                          </w:r>
                        </w:sdtContent>
                      </w:sdt>
                    </w:p>
                    <w:p w:rsidR="006B22AA" w:rsidRDefault="00C933AA">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6B22AA">
                            <w:rPr>
                              <w:caps/>
                              <w:color w:val="595959" w:themeColor="text1" w:themeTint="A6"/>
                              <w:sz w:val="20"/>
                              <w:szCs w:val="20"/>
                            </w:rPr>
                            <w:t>Ies miguel herrero</w:t>
                          </w:r>
                        </w:sdtContent>
                      </w:sdt>
                    </w:p>
                  </w:txbxContent>
                </v:textbox>
                <w10:wrap anchorx="page" anchory="page"/>
              </v:shape>
            </w:pict>
          </w:r>
          <w:r>
            <w:rPr>
              <w:noProof/>
            </w:rPr>
            <w:pict>
              <v:shape id="Cuadro de texto 457" o:spid="_x0000_s1075" type="#_x0000_t202" style="position:absolute;left:0;text-align:left;margin-left:0;margin-top:0;width:4in;height:84.25pt;z-index:251660288;visibility:visible;mso-width-percent:450;mso-left-percent:420;mso-top-percent:175;mso-position-horizontal-relative:page;mso-position-vertical-relative:page;mso-width-percent:450;mso-left-percent:420;mso-top-percent:175;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" filled="f" stroked="f" strokeweight=".5pt">
                <v:textbox style="mso-fit-shape-to-text:t" inset="0,0,0,0">
                  <w:txbxContent>
                    <w:p w:rsidR="006B22AA" w:rsidRDefault="00C933AA">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6B22AA">
                            <w:rPr>
                              <w:rFonts w:asciiTheme="majorHAnsi" w:eastAsiaTheme="majorEastAsia" w:hAnsiTheme="majorHAnsi" w:cstheme="majorBidi"/>
                              <w:color w:val="262626" w:themeColor="text1" w:themeTint="D9"/>
                              <w:sz w:val="72"/>
                              <w:szCs w:val="72"/>
                            </w:rPr>
                            <w:t>Punto 2</w:t>
                          </w:r>
                        </w:sdtContent>
                      </w:sdt>
                    </w:p>
                    <w:p w:rsidR="006B22AA" w:rsidRDefault="00C933AA">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6B22AA">
                            <w:rPr>
                              <w:color w:val="404040" w:themeColor="text1" w:themeTint="BF"/>
                              <w:sz w:val="36"/>
                              <w:szCs w:val="36"/>
                            </w:rPr>
                            <w:t>Joseba Mantecón</w:t>
                          </w:r>
                        </w:sdtContent>
                      </w:sdt>
                    </w:p>
                  </w:txbxContent>
                </v:textbox>
                <w10:wrap anchorx="page" anchory="page"/>
              </v:shape>
            </w:pict>
          </w:r>
        </w:p>
        <w:p w:rsidR="006B22AA" w:rsidRDefault="006B22AA" w:rsidP="00D7475A">
          <w:pPr>
            <w:jc w:val="both"/>
          </w:pPr>
          <w:r>
            <w:br w:type="page"/>
          </w:r>
        </w:p>
      </w:sdtContent>
    </w:sdt>
    <w:p w:rsidR="00B22CCA" w:rsidRDefault="00B22CCA" w:rsidP="00D7475A">
      <w:pPr>
        <w:pStyle w:val="Ttulo"/>
        <w:jc w:val="both"/>
        <w:rPr>
          <w:rFonts w:ascii="Times New Roman" w:hAnsi="Times New Roman" w:cs="Times New Roman"/>
        </w:rPr>
      </w:pPr>
      <w:r w:rsidRPr="009720F7">
        <w:rPr>
          <w:rFonts w:ascii="Times New Roman" w:hAnsi="Times New Roman" w:cs="Times New Roman"/>
        </w:rPr>
        <w:lastRenderedPageBreak/>
        <w:t>Análisis de mercado</w:t>
      </w:r>
    </w:p>
    <w:p w:rsidR="00574E2F" w:rsidRDefault="00574E2F" w:rsidP="00D7475A">
      <w:pPr>
        <w:jc w:val="both"/>
      </w:pPr>
    </w:p>
    <w:sdt>
      <w:sdtPr>
        <w:rPr>
          <w:rFonts w:asciiTheme="minorHAnsi" w:eastAsiaTheme="minorHAnsi" w:hAnsiTheme="minorHAnsi" w:cstheme="minorBidi"/>
          <w:b w:val="0"/>
          <w:bCs w:val="0"/>
          <w:color w:val="auto"/>
          <w:sz w:val="22"/>
          <w:szCs w:val="22"/>
        </w:rPr>
        <w:id w:val="5259929"/>
        <w:docPartObj>
          <w:docPartGallery w:val="Table of Contents"/>
          <w:docPartUnique/>
        </w:docPartObj>
      </w:sdtPr>
      <w:sdtContent>
        <w:p w:rsidR="00574E2F" w:rsidRDefault="00574E2F" w:rsidP="00D7475A">
          <w:pPr>
            <w:pStyle w:val="TtulodeTDC"/>
            <w:jc w:val="both"/>
          </w:pPr>
          <w:r>
            <w:t>Contenido</w:t>
          </w:r>
        </w:p>
        <w:p w:rsidR="00574E2F" w:rsidRDefault="00C933AA" w:rsidP="00D7475A">
          <w:pPr>
            <w:pStyle w:val="TDC1"/>
            <w:tabs>
              <w:tab w:val="right" w:leader="dot" w:pos="8494"/>
            </w:tabs>
            <w:jc w:val="both"/>
            <w:rPr>
              <w:rFonts w:eastAsiaTheme="minorEastAsia"/>
              <w:noProof/>
              <w:lang w:eastAsia="es-ES"/>
            </w:rPr>
          </w:pPr>
          <w:r>
            <w:fldChar w:fldCharType="begin"/>
          </w:r>
          <w:r w:rsidR="00574E2F">
            <w:instrText xml:space="preserve"> TOC \o "1-3" \h \z \u </w:instrText>
          </w:r>
          <w:r>
            <w:fldChar w:fldCharType="separate"/>
          </w:r>
          <w:hyperlink w:anchor="_Toc57298325" w:history="1">
            <w:r w:rsidR="00574E2F" w:rsidRPr="00EF5608">
              <w:rPr>
                <w:rStyle w:val="Hipervnculo"/>
                <w:rFonts w:ascii="Times New Roman" w:hAnsi="Times New Roman" w:cs="Times New Roman"/>
                <w:noProof/>
              </w:rPr>
              <w:t>Análisis económico</w:t>
            </w:r>
            <w:r w:rsidR="00574E2F">
              <w:rPr>
                <w:noProof/>
                <w:webHidden/>
              </w:rPr>
              <w:tab/>
            </w:r>
            <w:r>
              <w:rPr>
                <w:noProof/>
                <w:webHidden/>
              </w:rPr>
              <w:fldChar w:fldCharType="begin"/>
            </w:r>
            <w:r w:rsidR="00574E2F">
              <w:rPr>
                <w:noProof/>
                <w:webHidden/>
              </w:rPr>
              <w:instrText xml:space="preserve"> PAGEREF _Toc57298325 \h </w:instrText>
            </w:r>
            <w:r>
              <w:rPr>
                <w:noProof/>
                <w:webHidden/>
              </w:rPr>
            </w:r>
            <w:r>
              <w:rPr>
                <w:noProof/>
                <w:webHidden/>
              </w:rPr>
              <w:fldChar w:fldCharType="separate"/>
            </w:r>
            <w:r w:rsidR="0088363A">
              <w:rPr>
                <w:noProof/>
                <w:webHidden/>
              </w:rPr>
              <w:t>2</w:t>
            </w:r>
            <w:r>
              <w:rPr>
                <w:noProof/>
                <w:webHidden/>
              </w:rPr>
              <w:fldChar w:fldCharType="end"/>
            </w:r>
          </w:hyperlink>
        </w:p>
        <w:p w:rsidR="00574E2F" w:rsidRDefault="00C933AA" w:rsidP="00D7475A">
          <w:pPr>
            <w:pStyle w:val="TDC1"/>
            <w:tabs>
              <w:tab w:val="right" w:leader="dot" w:pos="8494"/>
            </w:tabs>
            <w:jc w:val="both"/>
            <w:rPr>
              <w:rFonts w:eastAsiaTheme="minorEastAsia"/>
              <w:noProof/>
              <w:lang w:eastAsia="es-ES"/>
            </w:rPr>
          </w:pPr>
          <w:hyperlink w:anchor="_Toc57298326" w:history="1">
            <w:r w:rsidR="00574E2F" w:rsidRPr="00EF5608">
              <w:rPr>
                <w:rStyle w:val="Hipervnculo"/>
                <w:rFonts w:ascii="Times New Roman" w:hAnsi="Times New Roman" w:cs="Times New Roman"/>
                <w:noProof/>
              </w:rPr>
              <w:t>Análisis tecnológico</w:t>
            </w:r>
            <w:r w:rsidR="00574E2F">
              <w:rPr>
                <w:noProof/>
                <w:webHidden/>
              </w:rPr>
              <w:tab/>
            </w:r>
            <w:r>
              <w:rPr>
                <w:noProof/>
                <w:webHidden/>
              </w:rPr>
              <w:fldChar w:fldCharType="begin"/>
            </w:r>
            <w:r w:rsidR="00574E2F">
              <w:rPr>
                <w:noProof/>
                <w:webHidden/>
              </w:rPr>
              <w:instrText xml:space="preserve"> PAGEREF _Toc57298326 \h </w:instrText>
            </w:r>
            <w:r>
              <w:rPr>
                <w:noProof/>
                <w:webHidden/>
              </w:rPr>
            </w:r>
            <w:r>
              <w:rPr>
                <w:noProof/>
                <w:webHidden/>
              </w:rPr>
              <w:fldChar w:fldCharType="separate"/>
            </w:r>
            <w:r w:rsidR="0088363A">
              <w:rPr>
                <w:noProof/>
                <w:webHidden/>
              </w:rPr>
              <w:t>3</w:t>
            </w:r>
            <w:r>
              <w:rPr>
                <w:noProof/>
                <w:webHidden/>
              </w:rPr>
              <w:fldChar w:fldCharType="end"/>
            </w:r>
          </w:hyperlink>
        </w:p>
        <w:p w:rsidR="00574E2F" w:rsidRDefault="00C933AA" w:rsidP="00D7475A">
          <w:pPr>
            <w:pStyle w:val="TDC1"/>
            <w:tabs>
              <w:tab w:val="right" w:leader="dot" w:pos="8494"/>
            </w:tabs>
            <w:jc w:val="both"/>
            <w:rPr>
              <w:rFonts w:eastAsiaTheme="minorEastAsia"/>
              <w:noProof/>
              <w:lang w:eastAsia="es-ES"/>
            </w:rPr>
          </w:pPr>
          <w:hyperlink w:anchor="_Toc57298327" w:history="1">
            <w:r w:rsidR="00574E2F" w:rsidRPr="00EF5608">
              <w:rPr>
                <w:rStyle w:val="Hipervnculo"/>
                <w:rFonts w:ascii="Times New Roman" w:hAnsi="Times New Roman" w:cs="Times New Roman"/>
                <w:noProof/>
              </w:rPr>
              <w:t>Análisis sociocultural</w:t>
            </w:r>
            <w:r w:rsidR="00574E2F">
              <w:rPr>
                <w:noProof/>
                <w:webHidden/>
              </w:rPr>
              <w:tab/>
            </w:r>
            <w:r>
              <w:rPr>
                <w:noProof/>
                <w:webHidden/>
              </w:rPr>
              <w:fldChar w:fldCharType="begin"/>
            </w:r>
            <w:r w:rsidR="00574E2F">
              <w:rPr>
                <w:noProof/>
                <w:webHidden/>
              </w:rPr>
              <w:instrText xml:space="preserve"> PAGEREF _Toc57298327 \h </w:instrText>
            </w:r>
            <w:r>
              <w:rPr>
                <w:noProof/>
                <w:webHidden/>
              </w:rPr>
            </w:r>
            <w:r>
              <w:rPr>
                <w:noProof/>
                <w:webHidden/>
              </w:rPr>
              <w:fldChar w:fldCharType="separate"/>
            </w:r>
            <w:r w:rsidR="0088363A">
              <w:rPr>
                <w:noProof/>
                <w:webHidden/>
              </w:rPr>
              <w:t>4</w:t>
            </w:r>
            <w:r>
              <w:rPr>
                <w:noProof/>
                <w:webHidden/>
              </w:rPr>
              <w:fldChar w:fldCharType="end"/>
            </w:r>
          </w:hyperlink>
        </w:p>
        <w:p w:rsidR="00574E2F" w:rsidRDefault="00C933AA" w:rsidP="00D7475A">
          <w:pPr>
            <w:pStyle w:val="TDC1"/>
            <w:tabs>
              <w:tab w:val="right" w:leader="dot" w:pos="8494"/>
            </w:tabs>
            <w:jc w:val="both"/>
            <w:rPr>
              <w:rFonts w:eastAsiaTheme="minorEastAsia"/>
              <w:noProof/>
              <w:lang w:eastAsia="es-ES"/>
            </w:rPr>
          </w:pPr>
          <w:hyperlink w:anchor="_Toc57298328" w:history="1">
            <w:r w:rsidR="00574E2F" w:rsidRPr="00EF5608">
              <w:rPr>
                <w:rStyle w:val="Hipervnculo"/>
                <w:noProof/>
              </w:rPr>
              <w:t>Perfil del jugador online</w:t>
            </w:r>
            <w:r w:rsidR="00574E2F">
              <w:rPr>
                <w:noProof/>
                <w:webHidden/>
              </w:rPr>
              <w:tab/>
            </w:r>
            <w:r>
              <w:rPr>
                <w:noProof/>
                <w:webHidden/>
              </w:rPr>
              <w:fldChar w:fldCharType="begin"/>
            </w:r>
            <w:r w:rsidR="00574E2F">
              <w:rPr>
                <w:noProof/>
                <w:webHidden/>
              </w:rPr>
              <w:instrText xml:space="preserve"> PAGEREF _Toc57298328 \h </w:instrText>
            </w:r>
            <w:r>
              <w:rPr>
                <w:noProof/>
                <w:webHidden/>
              </w:rPr>
            </w:r>
            <w:r>
              <w:rPr>
                <w:noProof/>
                <w:webHidden/>
              </w:rPr>
              <w:fldChar w:fldCharType="separate"/>
            </w:r>
            <w:r w:rsidR="0088363A">
              <w:rPr>
                <w:noProof/>
                <w:webHidden/>
              </w:rPr>
              <w:t>6</w:t>
            </w:r>
            <w:r>
              <w:rPr>
                <w:noProof/>
                <w:webHidden/>
              </w:rPr>
              <w:fldChar w:fldCharType="end"/>
            </w:r>
          </w:hyperlink>
        </w:p>
        <w:p w:rsidR="00574E2F" w:rsidRDefault="00C933AA" w:rsidP="00D7475A">
          <w:pPr>
            <w:pStyle w:val="TDC1"/>
            <w:tabs>
              <w:tab w:val="right" w:leader="dot" w:pos="8494"/>
            </w:tabs>
            <w:jc w:val="both"/>
            <w:rPr>
              <w:rFonts w:eastAsiaTheme="minorEastAsia"/>
              <w:noProof/>
              <w:lang w:eastAsia="es-ES"/>
            </w:rPr>
          </w:pPr>
          <w:hyperlink w:anchor="_Toc57298329" w:history="1">
            <w:r w:rsidR="00574E2F" w:rsidRPr="00EF5608">
              <w:rPr>
                <w:rStyle w:val="Hipervnculo"/>
                <w:noProof/>
              </w:rPr>
              <w:t>Análisis de la legislación</w:t>
            </w:r>
            <w:r w:rsidR="00574E2F">
              <w:rPr>
                <w:noProof/>
                <w:webHidden/>
              </w:rPr>
              <w:tab/>
            </w:r>
            <w:r>
              <w:rPr>
                <w:noProof/>
                <w:webHidden/>
              </w:rPr>
              <w:fldChar w:fldCharType="begin"/>
            </w:r>
            <w:r w:rsidR="00574E2F">
              <w:rPr>
                <w:noProof/>
                <w:webHidden/>
              </w:rPr>
              <w:instrText xml:space="preserve"> PAGEREF _Toc57298329 \h </w:instrText>
            </w:r>
            <w:r>
              <w:rPr>
                <w:noProof/>
                <w:webHidden/>
              </w:rPr>
            </w:r>
            <w:r>
              <w:rPr>
                <w:noProof/>
                <w:webHidden/>
              </w:rPr>
              <w:fldChar w:fldCharType="separate"/>
            </w:r>
            <w:r w:rsidR="0088363A">
              <w:rPr>
                <w:noProof/>
                <w:webHidden/>
              </w:rPr>
              <w:t>8</w:t>
            </w:r>
            <w:r>
              <w:rPr>
                <w:noProof/>
                <w:webHidden/>
              </w:rPr>
              <w:fldChar w:fldCharType="end"/>
            </w:r>
          </w:hyperlink>
        </w:p>
        <w:p w:rsidR="00574E2F" w:rsidRDefault="00C933AA" w:rsidP="00D7475A">
          <w:pPr>
            <w:jc w:val="both"/>
          </w:pPr>
          <w:r>
            <w:fldChar w:fldCharType="end"/>
          </w:r>
        </w:p>
      </w:sdtContent>
    </w:sdt>
    <w:bookmarkStart w:id="0" w:name="_Toc57298325" w:displacedByCustomXml="prev"/>
    <w:bookmarkStart w:id="1" w:name="_Toc57298288" w:displacedByCustomXml="prev"/>
    <w:p w:rsidR="00574E2F" w:rsidRDefault="00574E2F" w:rsidP="00D7475A">
      <w:pPr>
        <w:jc w:val="both"/>
        <w:rPr>
          <w:rFonts w:ascii="Times New Roman" w:hAnsi="Times New Roman" w:cs="Times New Roman"/>
          <w:sz w:val="32"/>
        </w:rPr>
      </w:pPr>
    </w:p>
    <w:p w:rsidR="00574E2F" w:rsidRDefault="00574E2F" w:rsidP="00D7475A">
      <w:pPr>
        <w:jc w:val="both"/>
        <w:rPr>
          <w:rFonts w:ascii="Times New Roman" w:hAnsi="Times New Roman" w:cs="Times New Roman"/>
          <w:sz w:val="32"/>
        </w:rPr>
      </w:pPr>
    </w:p>
    <w:p w:rsidR="00574E2F" w:rsidRDefault="00574E2F" w:rsidP="00D7475A">
      <w:pPr>
        <w:jc w:val="both"/>
        <w:rPr>
          <w:rFonts w:ascii="Times New Roman" w:hAnsi="Times New Roman" w:cs="Times New Roman"/>
          <w:sz w:val="32"/>
        </w:rPr>
      </w:pPr>
    </w:p>
    <w:p w:rsidR="00574E2F" w:rsidRDefault="00574E2F" w:rsidP="00D7475A">
      <w:pPr>
        <w:jc w:val="both"/>
        <w:rPr>
          <w:rFonts w:ascii="Times New Roman" w:hAnsi="Times New Roman" w:cs="Times New Roman"/>
          <w:sz w:val="32"/>
        </w:rPr>
      </w:pPr>
    </w:p>
    <w:p w:rsidR="00574E2F" w:rsidRDefault="00574E2F" w:rsidP="00D7475A">
      <w:pPr>
        <w:jc w:val="both"/>
        <w:rPr>
          <w:rFonts w:ascii="Times New Roman" w:hAnsi="Times New Roman" w:cs="Times New Roman"/>
          <w:sz w:val="32"/>
        </w:rPr>
      </w:pPr>
    </w:p>
    <w:p w:rsidR="00574E2F" w:rsidRDefault="00574E2F" w:rsidP="00D7475A">
      <w:pPr>
        <w:jc w:val="both"/>
        <w:rPr>
          <w:rFonts w:ascii="Times New Roman" w:hAnsi="Times New Roman" w:cs="Times New Roman"/>
          <w:sz w:val="32"/>
        </w:rPr>
      </w:pPr>
    </w:p>
    <w:p w:rsidR="00574E2F" w:rsidRDefault="00574E2F" w:rsidP="00D7475A">
      <w:pPr>
        <w:jc w:val="both"/>
        <w:rPr>
          <w:rFonts w:ascii="Times New Roman" w:hAnsi="Times New Roman" w:cs="Times New Roman"/>
          <w:sz w:val="32"/>
        </w:rPr>
      </w:pPr>
    </w:p>
    <w:p w:rsidR="00574E2F" w:rsidRDefault="00574E2F" w:rsidP="00D7475A">
      <w:pPr>
        <w:jc w:val="both"/>
        <w:rPr>
          <w:rFonts w:ascii="Times New Roman" w:hAnsi="Times New Roman" w:cs="Times New Roman"/>
          <w:sz w:val="32"/>
        </w:rPr>
      </w:pPr>
    </w:p>
    <w:p w:rsidR="00574E2F" w:rsidRDefault="00574E2F" w:rsidP="00D7475A">
      <w:pPr>
        <w:jc w:val="both"/>
        <w:rPr>
          <w:rFonts w:ascii="Times New Roman" w:hAnsi="Times New Roman" w:cs="Times New Roman"/>
          <w:sz w:val="32"/>
        </w:rPr>
      </w:pPr>
    </w:p>
    <w:p w:rsidR="00574E2F" w:rsidRDefault="00574E2F" w:rsidP="00D7475A">
      <w:pPr>
        <w:jc w:val="both"/>
        <w:rPr>
          <w:rFonts w:ascii="Times New Roman" w:hAnsi="Times New Roman" w:cs="Times New Roman"/>
          <w:sz w:val="32"/>
        </w:rPr>
      </w:pPr>
    </w:p>
    <w:p w:rsidR="00574E2F" w:rsidRDefault="00574E2F" w:rsidP="00D7475A">
      <w:pPr>
        <w:jc w:val="both"/>
        <w:rPr>
          <w:rFonts w:ascii="Times New Roman" w:hAnsi="Times New Roman" w:cs="Times New Roman"/>
          <w:sz w:val="32"/>
        </w:rPr>
      </w:pPr>
    </w:p>
    <w:p w:rsidR="00574E2F" w:rsidRDefault="00574E2F" w:rsidP="00D7475A">
      <w:pPr>
        <w:jc w:val="both"/>
        <w:rPr>
          <w:rFonts w:ascii="Times New Roman" w:hAnsi="Times New Roman" w:cs="Times New Roman"/>
          <w:sz w:val="32"/>
        </w:rPr>
      </w:pPr>
    </w:p>
    <w:p w:rsidR="00574E2F" w:rsidRDefault="00574E2F" w:rsidP="00D7475A">
      <w:pPr>
        <w:jc w:val="both"/>
        <w:rPr>
          <w:rFonts w:ascii="Times New Roman" w:hAnsi="Times New Roman" w:cs="Times New Roman"/>
          <w:sz w:val="32"/>
        </w:rPr>
      </w:pPr>
    </w:p>
    <w:p w:rsidR="00574E2F" w:rsidRDefault="00574E2F" w:rsidP="00D7475A">
      <w:pPr>
        <w:jc w:val="both"/>
        <w:rPr>
          <w:rFonts w:ascii="Times New Roman" w:hAnsi="Times New Roman" w:cs="Times New Roman"/>
          <w:sz w:val="32"/>
        </w:rPr>
      </w:pPr>
    </w:p>
    <w:p w:rsidR="00574E2F" w:rsidRDefault="00574E2F" w:rsidP="00D7475A">
      <w:pPr>
        <w:jc w:val="both"/>
        <w:rPr>
          <w:rFonts w:ascii="Times New Roman" w:hAnsi="Times New Roman" w:cs="Times New Roman"/>
          <w:sz w:val="32"/>
        </w:rPr>
      </w:pPr>
    </w:p>
    <w:p w:rsidR="005705FF" w:rsidRDefault="003B42D3" w:rsidP="00D7475A">
      <w:pPr>
        <w:pStyle w:val="Ttulo1"/>
        <w:jc w:val="both"/>
      </w:pPr>
      <w:r>
        <w:lastRenderedPageBreak/>
        <w:t xml:space="preserve">2.2. </w:t>
      </w:r>
      <w:r w:rsidR="00B22CCA" w:rsidRPr="009720F7">
        <w:t>Análisis</w:t>
      </w:r>
      <w:r>
        <w:t xml:space="preserve"> del</w:t>
      </w:r>
      <w:r w:rsidR="00B22CCA" w:rsidRPr="009720F7">
        <w:t xml:space="preserve"> </w:t>
      </w:r>
      <w:bookmarkEnd w:id="1"/>
      <w:bookmarkEnd w:id="0"/>
      <w:proofErr w:type="spellStart"/>
      <w:r>
        <w:t>macroentorno</w:t>
      </w:r>
      <w:proofErr w:type="spellEnd"/>
    </w:p>
    <w:p w:rsidR="003B42D3" w:rsidRDefault="003B42D3" w:rsidP="00D7475A">
      <w:pPr>
        <w:jc w:val="both"/>
      </w:pPr>
    </w:p>
    <w:p w:rsidR="003B42D3" w:rsidRPr="003B42D3" w:rsidRDefault="003B42D3" w:rsidP="00D7475A">
      <w:pPr>
        <w:pStyle w:val="Ttulo2"/>
        <w:jc w:val="both"/>
      </w:pPr>
      <w:r>
        <w:t>Análisis económico</w:t>
      </w:r>
    </w:p>
    <w:p w:rsidR="00B22CCA" w:rsidRPr="009720F7" w:rsidRDefault="00B22CCA" w:rsidP="00D7475A">
      <w:pPr>
        <w:pStyle w:val="Ttulo4"/>
        <w:jc w:val="both"/>
        <w:rPr>
          <w:rFonts w:ascii="Times New Roman" w:hAnsi="Times New Roman" w:cs="Times New Roman"/>
          <w:sz w:val="24"/>
        </w:rPr>
      </w:pPr>
      <w:r w:rsidRPr="009720F7">
        <w:rPr>
          <w:rFonts w:ascii="Times New Roman" w:hAnsi="Times New Roman" w:cs="Times New Roman"/>
          <w:sz w:val="24"/>
        </w:rPr>
        <w:t>Situación de la economía</w:t>
      </w:r>
    </w:p>
    <w:p w:rsidR="00B22CCA" w:rsidRPr="009720F7" w:rsidRDefault="00B22CCA" w:rsidP="00D7475A">
      <w:pPr>
        <w:tabs>
          <w:tab w:val="left" w:pos="349"/>
        </w:tabs>
        <w:jc w:val="both"/>
        <w:rPr>
          <w:rFonts w:ascii="Times New Roman" w:hAnsi="Times New Roman" w:cs="Times New Roman"/>
          <w:color w:val="000000" w:themeColor="text1"/>
          <w:sz w:val="20"/>
          <w:szCs w:val="20"/>
        </w:rPr>
      </w:pPr>
      <w:r w:rsidRPr="009720F7">
        <w:rPr>
          <w:rFonts w:ascii="Times New Roman" w:hAnsi="Times New Roman" w:cs="Times New Roman"/>
          <w:color w:val="000000" w:themeColor="text1"/>
          <w:sz w:val="20"/>
          <w:szCs w:val="20"/>
        </w:rPr>
        <w:t>Es un hecho que nos encontramos en un escenario social y económico como nunca antes. El SARS COV-2 ha cambiado el mundo de una manera radical, y especialmente ha sido devastador para la economía a nivel global.</w:t>
      </w:r>
    </w:p>
    <w:p w:rsidR="00B22CCA" w:rsidRDefault="00B22CCA" w:rsidP="00D7475A">
      <w:pPr>
        <w:tabs>
          <w:tab w:val="left" w:pos="349"/>
        </w:tabs>
        <w:jc w:val="both"/>
        <w:rPr>
          <w:rFonts w:ascii="Times New Roman" w:hAnsi="Times New Roman" w:cs="Times New Roman"/>
          <w:color w:val="000000" w:themeColor="text1"/>
          <w:spacing w:val="-1"/>
          <w:sz w:val="20"/>
          <w:szCs w:val="20"/>
          <w:shd w:val="clear" w:color="auto" w:fill="FFFFFF"/>
        </w:rPr>
      </w:pPr>
      <w:r w:rsidRPr="009720F7">
        <w:rPr>
          <w:rFonts w:ascii="Times New Roman" w:hAnsi="Times New Roman" w:cs="Times New Roman"/>
          <w:color w:val="000000" w:themeColor="text1"/>
          <w:spacing w:val="-1"/>
          <w:sz w:val="20"/>
          <w:szCs w:val="20"/>
          <w:shd w:val="clear" w:color="auto" w:fill="FFFFFF"/>
        </w:rPr>
        <w:t>La economía española se queda atrás. El fuerte </w:t>
      </w:r>
      <w:hyperlink r:id="rId9" w:history="1">
        <w:r w:rsidRPr="009720F7">
          <w:rPr>
            <w:rStyle w:val="Hipervnculo"/>
            <w:rFonts w:ascii="Times New Roman" w:hAnsi="Times New Roman" w:cs="Times New Roman"/>
            <w:color w:val="000000" w:themeColor="text1"/>
            <w:spacing w:val="-1"/>
            <w:sz w:val="20"/>
            <w:szCs w:val="20"/>
            <w:u w:val="none"/>
            <w:shd w:val="clear" w:color="auto" w:fill="FFFFFF"/>
          </w:rPr>
          <w:t>rebrote del covid-19</w:t>
        </w:r>
      </w:hyperlink>
      <w:r w:rsidRPr="009720F7">
        <w:rPr>
          <w:rFonts w:ascii="Times New Roman" w:hAnsi="Times New Roman" w:cs="Times New Roman"/>
          <w:color w:val="000000" w:themeColor="text1"/>
          <w:spacing w:val="-1"/>
          <w:sz w:val="20"/>
          <w:szCs w:val="20"/>
          <w:shd w:val="clear" w:color="auto" w:fill="FFFFFF"/>
        </w:rPr>
        <w:t> en buena parte del país, junto a un sector productivo muy vulnerable a esta pandemia, están alejando a la economía española de Europa. Mientras que algunos países como </w:t>
      </w:r>
      <w:r w:rsidRPr="009720F7">
        <w:rPr>
          <w:rFonts w:ascii="Times New Roman" w:hAnsi="Times New Roman" w:cs="Times New Roman"/>
          <w:bCs/>
          <w:color w:val="000000" w:themeColor="text1"/>
          <w:spacing w:val="-1"/>
          <w:sz w:val="20"/>
          <w:szCs w:val="20"/>
          <w:shd w:val="clear" w:color="auto" w:fill="FFFFFF"/>
        </w:rPr>
        <w:t>Alemania, Países Bajos o incluso Italia</w:t>
      </w:r>
      <w:r w:rsidRPr="009720F7">
        <w:rPr>
          <w:rFonts w:ascii="Times New Roman" w:hAnsi="Times New Roman" w:cs="Times New Roman"/>
          <w:color w:val="000000" w:themeColor="text1"/>
          <w:spacing w:val="-1"/>
          <w:sz w:val="20"/>
          <w:szCs w:val="20"/>
          <w:shd w:val="clear" w:color="auto" w:fill="FFFFFF"/>
        </w:rPr>
        <w:t> están viendo mejoras en las previsiones económicas realizadas por diferentes organismos, en </w:t>
      </w:r>
      <w:hyperlink r:id="rId10" w:history="1">
        <w:r w:rsidRPr="009720F7">
          <w:rPr>
            <w:rStyle w:val="Hipervnculo"/>
            <w:rFonts w:ascii="Times New Roman" w:hAnsi="Times New Roman" w:cs="Times New Roman"/>
            <w:color w:val="000000" w:themeColor="text1"/>
            <w:spacing w:val="-1"/>
            <w:sz w:val="20"/>
            <w:szCs w:val="20"/>
            <w:u w:val="none"/>
            <w:shd w:val="clear" w:color="auto" w:fill="FFFFFF"/>
          </w:rPr>
          <w:t>España ocurre todo lo contrario</w:t>
        </w:r>
      </w:hyperlink>
      <w:r w:rsidRPr="009720F7">
        <w:rPr>
          <w:rFonts w:ascii="Times New Roman" w:hAnsi="Times New Roman" w:cs="Times New Roman"/>
          <w:color w:val="000000" w:themeColor="text1"/>
          <w:spacing w:val="-1"/>
          <w:sz w:val="20"/>
          <w:szCs w:val="20"/>
          <w:shd w:val="clear" w:color="auto" w:fill="FFFFFF"/>
        </w:rPr>
        <w:t>.</w:t>
      </w:r>
    </w:p>
    <w:p w:rsidR="009720F7" w:rsidRPr="009720F7" w:rsidRDefault="009720F7" w:rsidP="00D7475A">
      <w:pPr>
        <w:tabs>
          <w:tab w:val="left" w:pos="349"/>
        </w:tabs>
        <w:jc w:val="both"/>
        <w:rPr>
          <w:rFonts w:ascii="Times New Roman" w:hAnsi="Times New Roman" w:cs="Times New Roman"/>
          <w:color w:val="000000" w:themeColor="text1"/>
          <w:sz w:val="20"/>
          <w:szCs w:val="20"/>
        </w:rPr>
      </w:pPr>
    </w:p>
    <w:p w:rsidR="00B22CCA" w:rsidRPr="009720F7" w:rsidRDefault="00B22CCA" w:rsidP="00D7475A">
      <w:pPr>
        <w:pStyle w:val="Ttulo4"/>
        <w:jc w:val="both"/>
        <w:rPr>
          <w:rFonts w:ascii="Times New Roman" w:hAnsi="Times New Roman" w:cs="Times New Roman"/>
          <w:sz w:val="24"/>
          <w:u w:val="single"/>
        </w:rPr>
      </w:pPr>
      <w:r w:rsidRPr="009720F7">
        <w:rPr>
          <w:rFonts w:ascii="Times New Roman" w:hAnsi="Times New Roman" w:cs="Times New Roman"/>
          <w:sz w:val="24"/>
        </w:rPr>
        <w:t>Previsiones del Banco de España</w:t>
      </w:r>
    </w:p>
    <w:p w:rsidR="00B22CCA" w:rsidRPr="009720F7" w:rsidRDefault="00B22CCA" w:rsidP="00D7475A">
      <w:pPr>
        <w:jc w:val="both"/>
        <w:rPr>
          <w:rFonts w:ascii="Times New Roman" w:hAnsi="Times New Roman" w:cs="Times New Roman"/>
          <w:color w:val="000000" w:themeColor="text1"/>
          <w:sz w:val="20"/>
          <w:szCs w:val="20"/>
          <w:shd w:val="clear" w:color="auto" w:fill="FFFFFF"/>
        </w:rPr>
      </w:pPr>
      <w:r w:rsidRPr="009720F7">
        <w:rPr>
          <w:rFonts w:ascii="Times New Roman" w:hAnsi="Times New Roman" w:cs="Times New Roman"/>
          <w:color w:val="000000" w:themeColor="text1"/>
          <w:sz w:val="20"/>
          <w:szCs w:val="20"/>
          <w:shd w:val="clear" w:color="auto" w:fill="FFFFFF"/>
        </w:rPr>
        <w:t>El </w:t>
      </w:r>
      <w:hyperlink r:id="rId11" w:tgtFrame="_blank" w:history="1">
        <w:r w:rsidRPr="009720F7">
          <w:rPr>
            <w:rStyle w:val="Hipervnculo"/>
            <w:rFonts w:ascii="Times New Roman" w:hAnsi="Times New Roman" w:cs="Times New Roman"/>
            <w:color w:val="000000" w:themeColor="text1"/>
            <w:sz w:val="20"/>
            <w:szCs w:val="20"/>
            <w:u w:val="none"/>
            <w:shd w:val="clear" w:color="auto" w:fill="FFFFFF"/>
          </w:rPr>
          <w:t>Banco de España</w:t>
        </w:r>
      </w:hyperlink>
      <w:r w:rsidRPr="009720F7">
        <w:rPr>
          <w:rFonts w:ascii="Times New Roman" w:hAnsi="Times New Roman" w:cs="Times New Roman"/>
          <w:color w:val="000000" w:themeColor="text1"/>
          <w:sz w:val="20"/>
          <w:szCs w:val="20"/>
          <w:shd w:val="clear" w:color="auto" w:fill="FFFFFF"/>
        </w:rPr>
        <w:t> ha empeorado sus previsiones económicas y ya descarta un "escenario de recuperación temprana" en el tercer trimestre y el cuarto de este año y prevé que la economía española registre una caída de entre el 10,5% y hasta el 12,6% en el conjunto del año en caso de materializarse la situación epidemiológica más desfavorable, al tiempo que empeora su pronóstico sobre el crecimiento de 2021, augurando un repunte de entre el 4,1% y el 7,3%.</w:t>
      </w:r>
    </w:p>
    <w:p w:rsidR="00B22CCA" w:rsidRDefault="00B22CCA" w:rsidP="00D7475A">
      <w:pPr>
        <w:jc w:val="both"/>
      </w:pPr>
      <w:r>
        <w:rPr>
          <w:noProof/>
          <w:lang w:eastAsia="es-ES"/>
        </w:rPr>
        <w:drawing>
          <wp:inline distT="0" distB="0" distL="0" distR="0">
            <wp:extent cx="4370070" cy="2438410"/>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4368983" cy="2437804"/>
                    </a:xfrm>
                    <a:prstGeom prst="rect">
                      <a:avLst/>
                    </a:prstGeom>
                    <a:noFill/>
                    <a:ln w="9525">
                      <a:noFill/>
                      <a:miter lim="800000"/>
                      <a:headEnd/>
                      <a:tailEnd/>
                    </a:ln>
                  </pic:spPr>
                </pic:pic>
              </a:graphicData>
            </a:graphic>
          </wp:inline>
        </w:drawing>
      </w:r>
    </w:p>
    <w:p w:rsidR="00B22CCA" w:rsidRDefault="00B22CCA" w:rsidP="00D7475A">
      <w:pPr>
        <w:jc w:val="both"/>
      </w:pPr>
    </w:p>
    <w:p w:rsidR="00B22CCA" w:rsidRDefault="00B22CCA" w:rsidP="00D7475A">
      <w:pPr>
        <w:jc w:val="both"/>
      </w:pPr>
    </w:p>
    <w:p w:rsidR="00B22CCA" w:rsidRPr="009720F7" w:rsidRDefault="00B22CCA" w:rsidP="00D7475A">
      <w:pPr>
        <w:jc w:val="both"/>
        <w:rPr>
          <w:rFonts w:ascii="Times New Roman" w:hAnsi="Times New Roman" w:cs="Times New Roman"/>
          <w:color w:val="000000" w:themeColor="text1"/>
          <w:sz w:val="20"/>
          <w:szCs w:val="20"/>
        </w:rPr>
      </w:pPr>
      <w:r w:rsidRPr="009720F7">
        <w:rPr>
          <w:rFonts w:ascii="Times New Roman" w:hAnsi="Times New Roman" w:cs="Times New Roman"/>
          <w:color w:val="000000" w:themeColor="text1"/>
          <w:sz w:val="20"/>
          <w:szCs w:val="20"/>
          <w:shd w:val="clear" w:color="auto" w:fill="FFFFFF"/>
        </w:rPr>
        <w:t>Por otro lado, el informe subraya que el impacto de la crisis sobre la utilización del factor trabajo está siendo "muy severo", si bien señala que el impacto laboral se ha visto amortiguado por los ERTE y el cese de actividad. Así, cree que en los próximos trimestres, el ritmo de mejora de la ocupación se verá atenuado, en consonancia con la evolución de la actividad y "mostrará una evolución muy heterogénea entre las distintas ramas de la economía".</w:t>
      </w:r>
    </w:p>
    <w:p w:rsidR="00B22CCA" w:rsidRDefault="00B22CCA" w:rsidP="00D7475A">
      <w:pPr>
        <w:jc w:val="both"/>
      </w:pPr>
      <w:r>
        <w:rPr>
          <w:noProof/>
          <w:lang w:eastAsia="es-ES"/>
        </w:rPr>
        <w:lastRenderedPageBreak/>
        <w:drawing>
          <wp:inline distT="0" distB="0" distL="0" distR="0">
            <wp:extent cx="4270535" cy="2493026"/>
            <wp:effectExtent l="19050" t="0" r="0" b="0"/>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4278398" cy="2497616"/>
                    </a:xfrm>
                    <a:prstGeom prst="rect">
                      <a:avLst/>
                    </a:prstGeom>
                    <a:noFill/>
                    <a:ln w="9525">
                      <a:noFill/>
                      <a:miter lim="800000"/>
                      <a:headEnd/>
                      <a:tailEnd/>
                    </a:ln>
                  </pic:spPr>
                </pic:pic>
              </a:graphicData>
            </a:graphic>
          </wp:inline>
        </w:drawing>
      </w:r>
    </w:p>
    <w:p w:rsidR="00B22CCA" w:rsidRDefault="00B22CCA" w:rsidP="00D7475A">
      <w:pPr>
        <w:pStyle w:val="Ttulo2"/>
        <w:jc w:val="both"/>
      </w:pPr>
    </w:p>
    <w:p w:rsidR="00B22CCA" w:rsidRDefault="00B22CCA" w:rsidP="00D7475A">
      <w:pPr>
        <w:jc w:val="both"/>
      </w:pPr>
    </w:p>
    <w:p w:rsidR="00E83857" w:rsidRDefault="00E83857" w:rsidP="00D7475A">
      <w:pPr>
        <w:pStyle w:val="Ttulo4"/>
        <w:jc w:val="both"/>
      </w:pPr>
      <w:r>
        <w:t>Datos del FMI</w:t>
      </w:r>
    </w:p>
    <w:p w:rsidR="00E83857" w:rsidRDefault="00E83857" w:rsidP="00D7475A">
      <w:pPr>
        <w:jc w:val="both"/>
      </w:pPr>
      <w:r w:rsidRPr="00E83857">
        <w:t>El FMI mantiene España como el país desarrollado que más sufrirá el impacto económico del coronavirus con un desplome del 12,8 % del PIB este año y es, además, el único país para el que no mejora sus previsiones este 2020. El Fondo Monetario Internacional señala en su informe anual que la economía española retrocederá con fuerza, repite sus previsiones de junio, y es, en cambio, casi un punto más optimista con respecto a la recuperación que, si se mantienen a raya los rebrotes, llegará el año que viene con un avance del PIB del 7,2 % (nueve décimas más).</w:t>
      </w:r>
    </w:p>
    <w:p w:rsidR="00E83857" w:rsidRDefault="00E83857" w:rsidP="00D7475A">
      <w:pPr>
        <w:pStyle w:val="Ttulo4"/>
        <w:jc w:val="both"/>
      </w:pPr>
      <w:r>
        <w:t>Impacto laboral</w:t>
      </w:r>
    </w:p>
    <w:p w:rsidR="00E83857" w:rsidRDefault="00E83857" w:rsidP="00D7475A">
      <w:pPr>
        <w:jc w:val="both"/>
      </w:pPr>
      <w:r w:rsidRPr="00E83857">
        <w:t>En paralelo, las previsiones del FMI apuntan a que la tasa de paro española, que cerró 2019 en el entorno del 14,1%, saltará este año al 16,8% y se mantendrá en esa misma línea durante el año 2021.</w:t>
      </w:r>
    </w:p>
    <w:p w:rsidR="00E83857" w:rsidRPr="00E83857" w:rsidRDefault="00E83857" w:rsidP="00D7475A">
      <w:pPr>
        <w:jc w:val="both"/>
      </w:pPr>
      <w:r w:rsidRPr="00E83857">
        <w:t>Las estimaciones también calculan que la demanda nacional caerá un 12% este año (para subir un 8,2% el próximo año), con un retroceso del 14,8% en el consumo privado (y un aumento del 9,1% en 2021). En cuanto a los precios de consumo, tras un alza del 0,8% en 2019, la expectativa es de un retroceso del 0,3% este año y un avance del 0,8% en 2021.</w:t>
      </w:r>
    </w:p>
    <w:p w:rsidR="00E83857" w:rsidRPr="00B22CCA" w:rsidRDefault="00E83857" w:rsidP="00D7475A">
      <w:pPr>
        <w:jc w:val="both"/>
      </w:pPr>
      <w:r w:rsidRPr="00E83857">
        <w:rPr>
          <w:noProof/>
          <w:lang w:eastAsia="es-ES"/>
        </w:rPr>
        <w:lastRenderedPageBreak/>
        <w:drawing>
          <wp:inline distT="0" distB="0" distL="0" distR="0">
            <wp:extent cx="4270890" cy="400872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4295906" cy="4032210"/>
                    </a:xfrm>
                    <a:prstGeom prst="rect">
                      <a:avLst/>
                    </a:prstGeom>
                  </pic:spPr>
                </pic:pic>
              </a:graphicData>
            </a:graphic>
          </wp:inline>
        </w:drawing>
      </w:r>
    </w:p>
    <w:p w:rsidR="00B22CCA" w:rsidRDefault="00B22CCA" w:rsidP="00D7475A">
      <w:pPr>
        <w:jc w:val="both"/>
      </w:pPr>
    </w:p>
    <w:p w:rsidR="00B22CCA" w:rsidRDefault="00B22CCA" w:rsidP="00D7475A">
      <w:pPr>
        <w:pStyle w:val="Ttulo1"/>
        <w:jc w:val="both"/>
        <w:rPr>
          <w:rFonts w:ascii="Times New Roman" w:hAnsi="Times New Roman" w:cs="Times New Roman"/>
          <w:sz w:val="32"/>
        </w:rPr>
      </w:pPr>
      <w:bookmarkStart w:id="2" w:name="_Toc57298289"/>
      <w:bookmarkStart w:id="3" w:name="_Toc57298326"/>
      <w:r w:rsidRPr="009720F7">
        <w:rPr>
          <w:rFonts w:ascii="Times New Roman" w:hAnsi="Times New Roman" w:cs="Times New Roman"/>
          <w:sz w:val="32"/>
        </w:rPr>
        <w:t>Análisis tecnológico</w:t>
      </w:r>
      <w:bookmarkEnd w:id="2"/>
      <w:bookmarkEnd w:id="3"/>
    </w:p>
    <w:p w:rsidR="003B42D3" w:rsidRPr="003B42D3" w:rsidRDefault="003B42D3" w:rsidP="00D7475A">
      <w:pPr>
        <w:jc w:val="both"/>
      </w:pPr>
    </w:p>
    <w:p w:rsidR="003B42D3" w:rsidRPr="003B42D3" w:rsidRDefault="003B42D3" w:rsidP="00D7475A">
      <w:pPr>
        <w:jc w:val="both"/>
      </w:pPr>
      <w:r w:rsidRPr="003B42D3">
        <w:t>En el año 2018, el sector TIC en España alberga una cifra de negocio de 47.231 millones de euros, con un crecimiento del 2,3% respecto al año 2017. El sector TIC presenta una distribución por sectores semejante a la del resto del mundo.</w:t>
      </w:r>
    </w:p>
    <w:p w:rsidR="003B42D3" w:rsidRPr="003B42D3" w:rsidRDefault="003B42D3" w:rsidP="00D7475A">
      <w:pPr>
        <w:jc w:val="both"/>
      </w:pPr>
      <w:r w:rsidRPr="003B42D3">
        <w:t>En primer lugar, se encuentra el sector de las Tecnologías de la Información (TI), con más de la mitad de la facturación (55,5%) en el año 2018. Más de un tercio corresponde a los servicios de telecomunicaciones (35,6%), mientras que los servicios de negocio representan el 9%.</w:t>
      </w:r>
    </w:p>
    <w:p w:rsidR="00AB60C4" w:rsidRDefault="003B42D3" w:rsidP="00D7475A">
      <w:pPr>
        <w:pStyle w:val="NormalWeb"/>
        <w:shd w:val="clear" w:color="auto" w:fill="FFFFFF"/>
        <w:spacing w:before="0" w:beforeAutospacing="0" w:after="125" w:afterAutospacing="0"/>
        <w:jc w:val="both"/>
        <w:textAlignment w:val="baseline"/>
        <w:rPr>
          <w:color w:val="0070C0"/>
          <w:sz w:val="20"/>
          <w:szCs w:val="20"/>
        </w:rPr>
      </w:pPr>
      <w:r w:rsidRPr="00AB60C4">
        <w:rPr>
          <w:noProof/>
          <w:sz w:val="20"/>
          <w:szCs w:val="20"/>
        </w:rPr>
        <w:drawing>
          <wp:inline distT="0" distB="0" distL="0" distR="0">
            <wp:extent cx="5325465" cy="215838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5410433" cy="2192823"/>
                    </a:xfrm>
                    <a:prstGeom prst="rect">
                      <a:avLst/>
                    </a:prstGeom>
                  </pic:spPr>
                </pic:pic>
              </a:graphicData>
            </a:graphic>
          </wp:inline>
        </w:drawing>
      </w:r>
    </w:p>
    <w:p w:rsidR="006F6208" w:rsidRDefault="00AB60C4" w:rsidP="00D7475A">
      <w:pPr>
        <w:pStyle w:val="NormalWeb"/>
        <w:shd w:val="clear" w:color="auto" w:fill="FFFFFF"/>
        <w:spacing w:before="0" w:beforeAutospacing="0" w:after="125" w:afterAutospacing="0"/>
        <w:jc w:val="both"/>
        <w:textAlignment w:val="baseline"/>
        <w:rPr>
          <w:sz w:val="20"/>
          <w:szCs w:val="20"/>
        </w:rPr>
      </w:pPr>
      <w:r w:rsidRPr="00AB60C4">
        <w:rPr>
          <w:sz w:val="20"/>
          <w:szCs w:val="20"/>
        </w:rPr>
        <w:lastRenderedPageBreak/>
        <w:t>Para el periodo comprendido entre 2018 y 2023, en España se prevé un ligero crecimiento del sector TIC en su conjunto. Si bien las TI van a seguir creciendo, será un incremento menor que el relativo al 2018 (4,3%), y se estima un CAGR del 2,7% para 2018-2023, al igual que en Europa (excluyendo tanto a Rusia como a la misma España).</w:t>
      </w:r>
    </w:p>
    <w:p w:rsidR="003B42D3" w:rsidRPr="003B42D3" w:rsidRDefault="003B42D3" w:rsidP="00D7475A">
      <w:pPr>
        <w:pStyle w:val="NormalWeb"/>
        <w:shd w:val="clear" w:color="auto" w:fill="FFFFFF"/>
        <w:spacing w:before="0" w:beforeAutospacing="0" w:after="125" w:afterAutospacing="0"/>
        <w:jc w:val="both"/>
        <w:textAlignment w:val="baseline"/>
        <w:rPr>
          <w:sz w:val="20"/>
          <w:szCs w:val="20"/>
        </w:rPr>
      </w:pPr>
    </w:p>
    <w:p w:rsidR="00AB60C4" w:rsidRPr="00AB60C4" w:rsidRDefault="00AB60C4" w:rsidP="00D7475A">
      <w:pPr>
        <w:jc w:val="both"/>
        <w:rPr>
          <w:rFonts w:ascii="Times New Roman" w:hAnsi="Times New Roman" w:cs="Times New Roman"/>
          <w:sz w:val="20"/>
          <w:szCs w:val="20"/>
        </w:rPr>
      </w:pPr>
      <w:r w:rsidRPr="00AB60C4">
        <w:rPr>
          <w:rFonts w:ascii="Times New Roman" w:hAnsi="Times New Roman" w:cs="Times New Roman"/>
          <w:sz w:val="20"/>
          <w:szCs w:val="20"/>
        </w:rPr>
        <w:t>Los servicios de negocio son los que mayor tasa compuesta de crecimiento anual (CAGR) presentan para dicho periodo, del 4,9%. Los servicios de telecomunicaciones presentan un decrecimiento tanto en 2018 como en 2019, que después dará paso a un ligero repunte hasta 2023, presentando un CAGR del 0,8%.</w:t>
      </w:r>
    </w:p>
    <w:p w:rsidR="00AB60C4" w:rsidRPr="00AB60C4" w:rsidRDefault="00AB60C4" w:rsidP="00D7475A">
      <w:pPr>
        <w:jc w:val="both"/>
        <w:rPr>
          <w:rFonts w:ascii="Times New Roman" w:hAnsi="Times New Roman" w:cs="Times New Roman"/>
          <w:sz w:val="20"/>
          <w:szCs w:val="20"/>
        </w:rPr>
      </w:pPr>
    </w:p>
    <w:p w:rsidR="00AB60C4" w:rsidRPr="00AB60C4" w:rsidRDefault="00AB60C4" w:rsidP="00D7475A">
      <w:pPr>
        <w:jc w:val="both"/>
        <w:rPr>
          <w:rFonts w:ascii="Times New Roman" w:hAnsi="Times New Roman" w:cs="Times New Roman"/>
          <w:sz w:val="20"/>
          <w:szCs w:val="20"/>
        </w:rPr>
      </w:pPr>
      <w:r w:rsidRPr="00AB60C4">
        <w:rPr>
          <w:rFonts w:ascii="Times New Roman" w:hAnsi="Times New Roman" w:cs="Times New Roman"/>
          <w:sz w:val="20"/>
          <w:szCs w:val="20"/>
        </w:rPr>
        <w:t>En el año 2018, el sector TI ha generado 1.981.993 millones de euros en el mundo. Si atendemos a las TI por ámbito geográfico, EE.UU. es el país que mayor volumen de negocio genera, representando el 36,2% a nivel mundial. Europa es la segunda región con mayor peso con relación a las TI, con el 24,1% del total.</w:t>
      </w:r>
    </w:p>
    <w:p w:rsidR="00AB60C4" w:rsidRDefault="00AB60C4" w:rsidP="00D7475A">
      <w:pPr>
        <w:jc w:val="both"/>
        <w:rPr>
          <w:rFonts w:ascii="Times New Roman" w:hAnsi="Times New Roman" w:cs="Times New Roman"/>
          <w:sz w:val="20"/>
          <w:szCs w:val="20"/>
        </w:rPr>
      </w:pPr>
      <w:r w:rsidRPr="00AB60C4">
        <w:rPr>
          <w:rFonts w:ascii="Times New Roman" w:hAnsi="Times New Roman" w:cs="Times New Roman"/>
          <w:sz w:val="20"/>
          <w:szCs w:val="20"/>
        </w:rPr>
        <w:t>El volumen de negocio del sector TI en España es de 26.227 millones de euros en el año 2018, con una tasa de crecimiento del 4,3% respecto al año anterior.</w:t>
      </w:r>
    </w:p>
    <w:p w:rsidR="00AB60C4" w:rsidRPr="00AB60C4" w:rsidRDefault="00AB60C4" w:rsidP="00D7475A">
      <w:pPr>
        <w:jc w:val="both"/>
        <w:rPr>
          <w:rFonts w:ascii="Times New Roman" w:hAnsi="Times New Roman" w:cs="Times New Roman"/>
          <w:sz w:val="20"/>
          <w:szCs w:val="20"/>
        </w:rPr>
      </w:pPr>
      <w:r w:rsidRPr="00AB60C4">
        <w:rPr>
          <w:rFonts w:ascii="Times New Roman" w:hAnsi="Times New Roman" w:cs="Times New Roman"/>
          <w:noProof/>
          <w:lang w:eastAsia="es-ES"/>
        </w:rPr>
        <w:drawing>
          <wp:inline distT="0" distB="0" distL="0" distR="0">
            <wp:extent cx="4934639" cy="2610214"/>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4934639" cy="2610214"/>
                    </a:xfrm>
                    <a:prstGeom prst="rect">
                      <a:avLst/>
                    </a:prstGeom>
                  </pic:spPr>
                </pic:pic>
              </a:graphicData>
            </a:graphic>
          </wp:inline>
        </w:drawing>
      </w:r>
    </w:p>
    <w:p w:rsidR="00AB60C4" w:rsidRDefault="00AB60C4" w:rsidP="00D7475A">
      <w:pPr>
        <w:jc w:val="both"/>
        <w:rPr>
          <w:rFonts w:ascii="Times New Roman" w:hAnsi="Times New Roman" w:cs="Times New Roman"/>
        </w:rPr>
      </w:pPr>
    </w:p>
    <w:p w:rsidR="00F8721D" w:rsidRDefault="009720F7" w:rsidP="00D7475A">
      <w:pPr>
        <w:pStyle w:val="Ttulo4"/>
        <w:jc w:val="both"/>
        <w:rPr>
          <w:rFonts w:ascii="Times New Roman" w:hAnsi="Times New Roman" w:cs="Times New Roman"/>
          <w:sz w:val="24"/>
        </w:rPr>
      </w:pPr>
      <w:r w:rsidRPr="009720F7">
        <w:rPr>
          <w:rFonts w:ascii="Times New Roman" w:hAnsi="Times New Roman" w:cs="Times New Roman"/>
          <w:sz w:val="24"/>
        </w:rPr>
        <w:t>Previsión de cambios</w:t>
      </w:r>
    </w:p>
    <w:p w:rsidR="00AB60C4" w:rsidRPr="00AB60C4" w:rsidRDefault="00AB60C4" w:rsidP="00D7475A">
      <w:pPr>
        <w:jc w:val="both"/>
        <w:rPr>
          <w:rFonts w:ascii="Times New Roman" w:hAnsi="Times New Roman" w:cs="Times New Roman"/>
        </w:rPr>
      </w:pPr>
      <w:r w:rsidRPr="00AB60C4">
        <w:rPr>
          <w:rFonts w:ascii="Times New Roman" w:hAnsi="Times New Roman" w:cs="Times New Roman"/>
          <w:sz w:val="20"/>
          <w:szCs w:val="20"/>
        </w:rPr>
        <w:t xml:space="preserve">El crecimiento del sector TI para el periodo 2018-2023 es estable, tras el crecimiento del 4,3% en el año 2018 seguirá creciendo un 3,8% en el 2019. El resto de años en el periodo mencionado lo harán a un ritmo de entre el 2,3 y el 2,7%. Se calcula que el CAGR para esos seis años será del 2,7%, un dato que muestra que este sector crecerá en menor medida que en el resto del </w:t>
      </w:r>
      <w:r w:rsidRPr="00AB60C4">
        <w:rPr>
          <w:rFonts w:ascii="Times New Roman" w:hAnsi="Times New Roman" w:cs="Times New Roman"/>
        </w:rPr>
        <w:t xml:space="preserve">mundo (5%), así como en Europa </w:t>
      </w:r>
      <w:r w:rsidRPr="00AB60C4">
        <w:rPr>
          <w:rFonts w:ascii="Times New Roman" w:hAnsi="Times New Roman" w:cs="Times New Roman"/>
          <w:sz w:val="20"/>
          <w:szCs w:val="20"/>
        </w:rPr>
        <w:t>(3,5%). Sin embargo, España tendrá un crecimiento superior a países como Canadá (1,7%), Corea (1,1%) o Japón (2,7%).</w:t>
      </w:r>
    </w:p>
    <w:p w:rsidR="009720F7" w:rsidRPr="00AB60C4" w:rsidRDefault="009720F7" w:rsidP="00D7475A">
      <w:pPr>
        <w:pStyle w:val="NormalWeb"/>
        <w:shd w:val="clear" w:color="auto" w:fill="FFFFFF"/>
        <w:spacing w:before="0" w:beforeAutospacing="0" w:after="125" w:afterAutospacing="0"/>
        <w:jc w:val="both"/>
        <w:textAlignment w:val="baseline"/>
        <w:rPr>
          <w:sz w:val="20"/>
          <w:szCs w:val="20"/>
        </w:rPr>
      </w:pPr>
      <w:r w:rsidRPr="00AB60C4">
        <w:rPr>
          <w:sz w:val="20"/>
          <w:szCs w:val="20"/>
        </w:rPr>
        <w:t xml:space="preserve">Otro punto destacado es la inversión en lo que se conoce como </w:t>
      </w:r>
      <w:proofErr w:type="spellStart"/>
      <w:r w:rsidRPr="00AB60C4">
        <w:rPr>
          <w:sz w:val="20"/>
          <w:szCs w:val="20"/>
        </w:rPr>
        <w:t>Deep</w:t>
      </w:r>
      <w:proofErr w:type="spellEnd"/>
      <w:r w:rsidRPr="00AB60C4">
        <w:rPr>
          <w:sz w:val="20"/>
          <w:szCs w:val="20"/>
        </w:rPr>
        <w:t xml:space="preserve"> </w:t>
      </w:r>
      <w:proofErr w:type="spellStart"/>
      <w:r w:rsidRPr="00AB60C4">
        <w:rPr>
          <w:sz w:val="20"/>
          <w:szCs w:val="20"/>
        </w:rPr>
        <w:t>Tech</w:t>
      </w:r>
      <w:proofErr w:type="spellEnd"/>
      <w:r w:rsidRPr="00AB60C4">
        <w:rPr>
          <w:sz w:val="20"/>
          <w:szCs w:val="20"/>
        </w:rPr>
        <w:t xml:space="preserve">, lo que indica cómo España se está convirtiendo en un nodo importante para esta combinación de innovación tecnológica e investigación académica. Lo importante de esta tendencia es que está generando una gran sinergia entre los científicos y los nuevos empresarios, impulsando la creación de nuevos productos que combinan una mezcla muy potente de innovación tecnológica con avances científicos, que ayudan a que la sociedad avance. En conjunto, las inversiones españolas en </w:t>
      </w:r>
      <w:proofErr w:type="spellStart"/>
      <w:r w:rsidRPr="00AB60C4">
        <w:rPr>
          <w:sz w:val="20"/>
          <w:szCs w:val="20"/>
        </w:rPr>
        <w:t>Deep</w:t>
      </w:r>
      <w:proofErr w:type="spellEnd"/>
      <w:r w:rsidRPr="00AB60C4">
        <w:rPr>
          <w:sz w:val="20"/>
          <w:szCs w:val="20"/>
        </w:rPr>
        <w:t xml:space="preserve"> </w:t>
      </w:r>
      <w:proofErr w:type="spellStart"/>
      <w:r w:rsidRPr="00AB60C4">
        <w:rPr>
          <w:sz w:val="20"/>
          <w:szCs w:val="20"/>
        </w:rPr>
        <w:t>Tech</w:t>
      </w:r>
      <w:proofErr w:type="spellEnd"/>
      <w:r w:rsidRPr="00AB60C4">
        <w:rPr>
          <w:sz w:val="20"/>
          <w:szCs w:val="20"/>
        </w:rPr>
        <w:t xml:space="preserve"> llegaron hasta 280 millones de dólares en 2019, más o menos la mitad de todo lo gastado en los últimos cinco años en este segmento de proyectos tecnológicos.</w:t>
      </w:r>
    </w:p>
    <w:p w:rsidR="009720F7" w:rsidRDefault="009720F7" w:rsidP="00D7475A">
      <w:pPr>
        <w:jc w:val="both"/>
        <w:rPr>
          <w:rFonts w:ascii="Times New Roman" w:hAnsi="Times New Roman" w:cs="Times New Roman"/>
        </w:rPr>
      </w:pPr>
    </w:p>
    <w:p w:rsidR="003B42D3" w:rsidRDefault="003B42D3" w:rsidP="00D7475A">
      <w:pPr>
        <w:jc w:val="both"/>
        <w:rPr>
          <w:rFonts w:ascii="Times New Roman" w:hAnsi="Times New Roman" w:cs="Times New Roman"/>
        </w:rPr>
      </w:pPr>
    </w:p>
    <w:p w:rsidR="003B42D3" w:rsidRDefault="00683ECD" w:rsidP="00D7475A">
      <w:pPr>
        <w:pStyle w:val="Ttulo2"/>
        <w:jc w:val="both"/>
      </w:pPr>
      <w:r>
        <w:t>Análisis sociocultural</w:t>
      </w:r>
    </w:p>
    <w:p w:rsidR="00683ECD" w:rsidRDefault="00683ECD" w:rsidP="00D7475A">
      <w:pPr>
        <w:jc w:val="both"/>
      </w:pPr>
    </w:p>
    <w:p w:rsidR="00683ECD" w:rsidRPr="00683ECD" w:rsidRDefault="00683ECD" w:rsidP="00D7475A">
      <w:pPr>
        <w:jc w:val="both"/>
      </w:pPr>
    </w:p>
    <w:p w:rsidR="006F6208" w:rsidRPr="00683ECD" w:rsidRDefault="00B44872" w:rsidP="00D7475A">
      <w:pPr>
        <w:pStyle w:val="Ttulo2"/>
        <w:jc w:val="both"/>
      </w:pPr>
      <w:r w:rsidRPr="00683ECD">
        <w:t>Situación del sector</w:t>
      </w:r>
    </w:p>
    <w:p w:rsidR="003B42D3" w:rsidRPr="00683ECD" w:rsidRDefault="003B42D3" w:rsidP="00D7475A">
      <w:pPr>
        <w:pStyle w:val="Ttulo4"/>
        <w:jc w:val="both"/>
        <w:rPr>
          <w:rFonts w:ascii="Times New Roman" w:hAnsi="Times New Roman" w:cs="Times New Roman"/>
          <w:color w:val="FF0000"/>
          <w:sz w:val="24"/>
        </w:rPr>
      </w:pPr>
      <w:r w:rsidRPr="00683ECD">
        <w:rPr>
          <w:rFonts w:ascii="Times New Roman" w:hAnsi="Times New Roman" w:cs="Times New Roman"/>
          <w:color w:val="FF0000"/>
          <w:sz w:val="24"/>
        </w:rPr>
        <w:t>Evolución del sector</w:t>
      </w:r>
    </w:p>
    <w:p w:rsidR="003B42D3" w:rsidRPr="003B42D3" w:rsidRDefault="003B42D3" w:rsidP="00D7475A">
      <w:pPr>
        <w:jc w:val="both"/>
        <w:rPr>
          <w:rFonts w:ascii="Times New Roman" w:hAnsi="Times New Roman" w:cs="Times New Roman"/>
          <w:color w:val="FF0000"/>
          <w:sz w:val="20"/>
          <w:szCs w:val="20"/>
          <w:shd w:val="clear" w:color="auto" w:fill="FFFFFF"/>
        </w:rPr>
      </w:pPr>
      <w:r w:rsidRPr="003B42D3">
        <w:rPr>
          <w:rFonts w:ascii="Times New Roman" w:hAnsi="Times New Roman" w:cs="Times New Roman"/>
          <w:color w:val="FF0000"/>
          <w:sz w:val="20"/>
          <w:szCs w:val="20"/>
          <w:shd w:val="clear" w:color="auto" w:fill="FFFFFF"/>
        </w:rPr>
        <w:t>Sus expertos señalan que, a pesar de que el conflicto comercial entre Estados Unidos y China ha influenciado negativamente muchos mercados, la tecnología en Europa siguió creciendo, ganando peso en la economía de la región y de todo el mundo. Esto se logró con el crecimiento en la financiación de empresas tecnológicas europeas, que no solo fue récord en volumen total, sin que durante 2019 también se sobrepasó el récord de inversiones por encima de los 100 millones de dólares.</w:t>
      </w:r>
    </w:p>
    <w:p w:rsidR="003B42D3" w:rsidRPr="003B42D3" w:rsidRDefault="003B42D3" w:rsidP="00D7475A">
      <w:pPr>
        <w:pStyle w:val="NormalWeb"/>
        <w:shd w:val="clear" w:color="auto" w:fill="FFFFFF"/>
        <w:spacing w:before="0" w:beforeAutospacing="0" w:after="125" w:afterAutospacing="0"/>
        <w:jc w:val="both"/>
        <w:textAlignment w:val="baseline"/>
        <w:rPr>
          <w:color w:val="FF0000"/>
          <w:sz w:val="20"/>
          <w:szCs w:val="20"/>
        </w:rPr>
      </w:pPr>
      <w:r w:rsidRPr="003B42D3">
        <w:rPr>
          <w:color w:val="FF0000"/>
          <w:sz w:val="20"/>
          <w:szCs w:val="20"/>
        </w:rPr>
        <w:t>Aunque las buenas cifras del conjunto de países europeos no se vieron reflejadas en España, donde los responsables de este estudio vieron un estancamiento de la inversión en tecnología, y también en el fomento del talento tecnológico. Según las cifras de este estudio, el total de financiación en España fue de 1.340 millones de dólares en 2019, un 0,17% menos que en 2018, y es solo un 4% del total invertido en Europa. A pesar de que esto coloca a nuestro país en sexta posición, detrás de Reino Unido, Alemania, Francia, Suecia y Suiza, no significa que esté bien posicionado, ya que en realidad es uno de los 10 en los que las inversiones en tecnología no aumentaron en estos últimos 12 meses.</w:t>
      </w:r>
    </w:p>
    <w:p w:rsidR="00DD0D67" w:rsidRPr="00DD0D67" w:rsidRDefault="00DD0D67" w:rsidP="00D7475A">
      <w:pPr>
        <w:jc w:val="both"/>
        <w:rPr>
          <w:rFonts w:ascii="Times New Roman" w:hAnsi="Times New Roman" w:cs="Times New Roman"/>
          <w:sz w:val="24"/>
          <w:szCs w:val="24"/>
        </w:rPr>
      </w:pPr>
    </w:p>
    <w:p w:rsidR="00574E2F" w:rsidRDefault="00574E2F" w:rsidP="00D7475A">
      <w:pPr>
        <w:jc w:val="both"/>
      </w:pPr>
    </w:p>
    <w:p w:rsidR="00574E2F" w:rsidRDefault="00574E2F" w:rsidP="00D7475A">
      <w:pPr>
        <w:pStyle w:val="Ttulo1"/>
        <w:jc w:val="both"/>
      </w:pPr>
      <w:bookmarkStart w:id="4" w:name="_Toc57298292"/>
      <w:bookmarkStart w:id="5" w:name="_Toc57298329"/>
      <w:r>
        <w:t>Análisis de la legislación</w:t>
      </w:r>
      <w:bookmarkEnd w:id="4"/>
      <w:bookmarkEnd w:id="5"/>
    </w:p>
    <w:p w:rsidR="00714637" w:rsidRPr="00714637" w:rsidRDefault="00714637" w:rsidP="00D7475A">
      <w:pPr>
        <w:jc w:val="both"/>
      </w:pPr>
    </w:p>
    <w:p w:rsidR="009254D7" w:rsidRDefault="009254D7" w:rsidP="00D7475A">
      <w:pPr>
        <w:pStyle w:val="Ttulo4"/>
        <w:jc w:val="both"/>
      </w:pPr>
      <w:r>
        <w:t xml:space="preserve">Normativa </w:t>
      </w:r>
      <w:r w:rsidRPr="009254D7">
        <w:t>específica</w:t>
      </w:r>
    </w:p>
    <w:p w:rsidR="00372D8E" w:rsidRPr="009254D7" w:rsidRDefault="009254D7" w:rsidP="00D7475A">
      <w:pPr>
        <w:jc w:val="both"/>
      </w:pPr>
      <w:r w:rsidRPr="00F8721D">
        <w:rPr>
          <w:rFonts w:ascii="Times New Roman" w:hAnsi="Times New Roman" w:cs="Times New Roman"/>
          <w:sz w:val="20"/>
          <w:szCs w:val="20"/>
        </w:rPr>
        <w:t xml:space="preserve">La normativa que regula el juego online es la </w:t>
      </w:r>
      <w:hyperlink r:id="rId17" w:tgtFrame="_blank" w:tooltip="Abre nueva ventana" w:history="1">
        <w:r w:rsidRPr="00F8721D">
          <w:rPr>
            <w:rStyle w:val="Hipervnculo"/>
            <w:rFonts w:ascii="Times New Roman" w:hAnsi="Times New Roman" w:cs="Times New Roman"/>
            <w:b/>
            <w:color w:val="002060"/>
            <w:sz w:val="20"/>
            <w:szCs w:val="20"/>
          </w:rPr>
          <w:t>Ley 13/2011, de 27 de mayo, de Regulación del Juego</w:t>
        </w:r>
      </w:hyperlink>
      <w:r w:rsidRPr="00F8721D">
        <w:rPr>
          <w:rFonts w:ascii="Times New Roman" w:hAnsi="Times New Roman" w:cs="Times New Roman"/>
          <w:sz w:val="20"/>
          <w:szCs w:val="20"/>
          <w:u w:val="single"/>
        </w:rPr>
        <w:t>,</w:t>
      </w:r>
      <w:r w:rsidRPr="00F8721D">
        <w:rPr>
          <w:rFonts w:ascii="Times New Roman" w:hAnsi="Times New Roman" w:cs="Times New Roman"/>
          <w:b/>
          <w:sz w:val="20"/>
          <w:szCs w:val="20"/>
        </w:rPr>
        <w:t xml:space="preserve"> </w:t>
      </w:r>
      <w:r w:rsidRPr="00F8721D">
        <w:rPr>
          <w:rFonts w:ascii="Times New Roman" w:hAnsi="Times New Roman" w:cs="Times New Roman"/>
          <w:sz w:val="20"/>
          <w:szCs w:val="20"/>
        </w:rPr>
        <w:t>siendo la norma jerárquica mas importante en el jueg</w:t>
      </w:r>
      <w:r>
        <w:rPr>
          <w:rFonts w:ascii="Times New Roman" w:hAnsi="Times New Roman" w:cs="Times New Roman"/>
          <w:sz w:val="20"/>
          <w:szCs w:val="20"/>
        </w:rPr>
        <w:t>o.</w:t>
      </w:r>
    </w:p>
    <w:p w:rsidR="00A44D0E" w:rsidRPr="00F8721D" w:rsidRDefault="00D11F83" w:rsidP="00D7475A">
      <w:pPr>
        <w:shd w:val="clear" w:color="auto" w:fill="FFFFFF"/>
        <w:spacing w:before="100" w:beforeAutospacing="1" w:after="100" w:afterAutospacing="1" w:line="250" w:lineRule="atLeast"/>
        <w:jc w:val="both"/>
        <w:rPr>
          <w:rFonts w:ascii="Times New Roman" w:hAnsi="Times New Roman" w:cs="Times New Roman"/>
          <w:sz w:val="20"/>
          <w:szCs w:val="20"/>
        </w:rPr>
      </w:pPr>
      <w:r w:rsidRPr="00F8721D">
        <w:rPr>
          <w:rFonts w:ascii="Times New Roman" w:hAnsi="Times New Roman" w:cs="Times New Roman"/>
          <w:sz w:val="20"/>
          <w:szCs w:val="20"/>
        </w:rPr>
        <w:t xml:space="preserve">Recientemente se </w:t>
      </w:r>
      <w:r w:rsidRPr="00F8721D">
        <w:rPr>
          <w:rFonts w:ascii="Times New Roman" w:hAnsi="Times New Roman" w:cs="Times New Roman"/>
          <w:color w:val="222222"/>
          <w:sz w:val="20"/>
          <w:szCs w:val="20"/>
          <w:shd w:val="clear" w:color="auto" w:fill="FFFFFF"/>
        </w:rPr>
        <w:t> </w:t>
      </w:r>
      <w:hyperlink r:id="rId18" w:history="1">
        <w:r w:rsidRPr="00F8721D">
          <w:rPr>
            <w:rStyle w:val="Hipervnculo"/>
            <w:rFonts w:ascii="Times New Roman" w:hAnsi="Times New Roman" w:cs="Times New Roman"/>
            <w:color w:val="002060"/>
            <w:sz w:val="20"/>
            <w:szCs w:val="20"/>
            <w:shd w:val="clear" w:color="auto" w:fill="FFFFFF"/>
          </w:rPr>
          <w:t>ha aprobado el Real Decreto de comunicaciones comerciales de las actividades del juego</w:t>
        </w:r>
      </w:hyperlink>
      <w:r w:rsidRPr="00F8721D">
        <w:rPr>
          <w:rFonts w:ascii="Times New Roman" w:hAnsi="Times New Roman" w:cs="Times New Roman"/>
          <w:color w:val="002060"/>
          <w:sz w:val="20"/>
          <w:szCs w:val="20"/>
          <w:shd w:val="clear" w:color="auto" w:fill="FFFFFF"/>
        </w:rPr>
        <w:t>,</w:t>
      </w:r>
      <w:r w:rsidRPr="00F8721D">
        <w:rPr>
          <w:rFonts w:ascii="Times New Roman" w:hAnsi="Times New Roman" w:cs="Times New Roman"/>
          <w:color w:val="222222"/>
          <w:sz w:val="20"/>
          <w:szCs w:val="20"/>
          <w:shd w:val="clear" w:color="auto" w:fill="FFFFFF"/>
        </w:rPr>
        <w:t xml:space="preserve"> que regulará por primera vez </w:t>
      </w:r>
      <w:r w:rsidRPr="00F8721D">
        <w:rPr>
          <w:rStyle w:val="Textoennegrita"/>
          <w:rFonts w:ascii="Times New Roman" w:hAnsi="Times New Roman" w:cs="Times New Roman"/>
          <w:color w:val="222222"/>
          <w:sz w:val="20"/>
          <w:szCs w:val="20"/>
          <w:shd w:val="clear" w:color="auto" w:fill="FFFFFF"/>
        </w:rPr>
        <w:t>la publicidad en línea de apuestas y juegos de azar en España</w:t>
      </w:r>
      <w:r w:rsidRPr="00F8721D">
        <w:rPr>
          <w:rFonts w:ascii="Times New Roman" w:hAnsi="Times New Roman" w:cs="Times New Roman"/>
          <w:color w:val="222222"/>
          <w:sz w:val="20"/>
          <w:szCs w:val="20"/>
          <w:shd w:val="clear" w:color="auto" w:fill="FFFFFF"/>
        </w:rPr>
        <w:t>.</w:t>
      </w:r>
    </w:p>
    <w:p w:rsidR="00D11F83" w:rsidRPr="00F8721D" w:rsidRDefault="00D11F83" w:rsidP="00D7475A">
      <w:pPr>
        <w:pStyle w:val="NormalWeb"/>
        <w:shd w:val="clear" w:color="auto" w:fill="FFFFFF"/>
        <w:spacing w:before="0" w:beforeAutospacing="0" w:after="213" w:afterAutospacing="0"/>
        <w:jc w:val="both"/>
        <w:rPr>
          <w:color w:val="222222"/>
          <w:sz w:val="20"/>
          <w:szCs w:val="20"/>
        </w:rPr>
      </w:pPr>
      <w:r w:rsidRPr="00F8721D">
        <w:rPr>
          <w:color w:val="222222"/>
          <w:sz w:val="20"/>
          <w:szCs w:val="20"/>
        </w:rPr>
        <w:t>Estas son algunas de las medidas destacadas:</w:t>
      </w:r>
    </w:p>
    <w:p w:rsidR="00D11F83" w:rsidRPr="00F8721D" w:rsidRDefault="00D11F83" w:rsidP="00D7475A">
      <w:pPr>
        <w:numPr>
          <w:ilvl w:val="0"/>
          <w:numId w:val="4"/>
        </w:numPr>
        <w:shd w:val="clear" w:color="auto" w:fill="FFFFFF"/>
        <w:spacing w:before="100" w:beforeAutospacing="1" w:after="100" w:afterAutospacing="1" w:line="240" w:lineRule="auto"/>
        <w:jc w:val="both"/>
        <w:rPr>
          <w:rFonts w:ascii="Times New Roman" w:hAnsi="Times New Roman" w:cs="Times New Roman"/>
          <w:color w:val="222222"/>
          <w:sz w:val="20"/>
          <w:szCs w:val="20"/>
        </w:rPr>
      </w:pPr>
      <w:r w:rsidRPr="00F8721D">
        <w:rPr>
          <w:rFonts w:ascii="Times New Roman" w:hAnsi="Times New Roman" w:cs="Times New Roman"/>
          <w:color w:val="222222"/>
          <w:sz w:val="20"/>
          <w:szCs w:val="20"/>
        </w:rPr>
        <w:t>Prohibición de publicidad audiovisual fuera de</w:t>
      </w:r>
      <w:r w:rsidRPr="00F8721D">
        <w:rPr>
          <w:rStyle w:val="Textoennegrita"/>
          <w:rFonts w:ascii="Times New Roman" w:hAnsi="Times New Roman" w:cs="Times New Roman"/>
          <w:b w:val="0"/>
          <w:color w:val="222222"/>
          <w:sz w:val="20"/>
          <w:szCs w:val="20"/>
        </w:rPr>
        <w:t>l</w:t>
      </w:r>
      <w:r w:rsidRPr="00F8721D">
        <w:rPr>
          <w:rStyle w:val="Textoennegrita"/>
          <w:rFonts w:ascii="Times New Roman" w:hAnsi="Times New Roman" w:cs="Times New Roman"/>
          <w:color w:val="222222"/>
          <w:sz w:val="20"/>
          <w:szCs w:val="20"/>
        </w:rPr>
        <w:t xml:space="preserve"> horario de 1 h. a 5 h.</w:t>
      </w:r>
      <w:r w:rsidRPr="00F8721D">
        <w:rPr>
          <w:rFonts w:ascii="Times New Roman" w:hAnsi="Times New Roman" w:cs="Times New Roman"/>
          <w:color w:val="222222"/>
          <w:sz w:val="20"/>
          <w:szCs w:val="20"/>
        </w:rPr>
        <w:t> de la madrugada.</w:t>
      </w:r>
    </w:p>
    <w:p w:rsidR="00D11F83" w:rsidRPr="00F8721D" w:rsidRDefault="00D11F83" w:rsidP="00D7475A">
      <w:pPr>
        <w:numPr>
          <w:ilvl w:val="0"/>
          <w:numId w:val="4"/>
        </w:numPr>
        <w:shd w:val="clear" w:color="auto" w:fill="FFFFFF"/>
        <w:spacing w:before="100" w:beforeAutospacing="1" w:after="100" w:afterAutospacing="1" w:line="240" w:lineRule="auto"/>
        <w:jc w:val="both"/>
        <w:rPr>
          <w:rFonts w:ascii="Times New Roman" w:hAnsi="Times New Roman" w:cs="Times New Roman"/>
          <w:color w:val="222222"/>
          <w:sz w:val="20"/>
          <w:szCs w:val="20"/>
        </w:rPr>
      </w:pPr>
      <w:r w:rsidRPr="00F8721D">
        <w:rPr>
          <w:rFonts w:ascii="Times New Roman" w:hAnsi="Times New Roman" w:cs="Times New Roman"/>
          <w:color w:val="222222"/>
          <w:sz w:val="20"/>
          <w:szCs w:val="20"/>
        </w:rPr>
        <w:t>Impide la emisión de </w:t>
      </w:r>
      <w:r w:rsidRPr="00F8721D">
        <w:rPr>
          <w:rStyle w:val="Textoennegrita"/>
          <w:rFonts w:ascii="Times New Roman" w:hAnsi="Times New Roman" w:cs="Times New Roman"/>
          <w:color w:val="222222"/>
          <w:sz w:val="20"/>
          <w:szCs w:val="20"/>
        </w:rPr>
        <w:t>bonos de captación</w:t>
      </w:r>
      <w:r w:rsidRPr="00F8721D">
        <w:rPr>
          <w:rFonts w:ascii="Times New Roman" w:hAnsi="Times New Roman" w:cs="Times New Roman"/>
          <w:color w:val="222222"/>
          <w:sz w:val="20"/>
          <w:szCs w:val="20"/>
        </w:rPr>
        <w:t> de jugadores.</w:t>
      </w:r>
    </w:p>
    <w:p w:rsidR="00D11F83" w:rsidRPr="00F8721D" w:rsidRDefault="00D11F83" w:rsidP="00D7475A">
      <w:pPr>
        <w:numPr>
          <w:ilvl w:val="0"/>
          <w:numId w:val="4"/>
        </w:numPr>
        <w:shd w:val="clear" w:color="auto" w:fill="FFFFFF"/>
        <w:spacing w:before="100" w:beforeAutospacing="1" w:after="100" w:afterAutospacing="1" w:line="240" w:lineRule="auto"/>
        <w:jc w:val="both"/>
        <w:rPr>
          <w:rFonts w:ascii="Times New Roman" w:hAnsi="Times New Roman" w:cs="Times New Roman"/>
          <w:color w:val="222222"/>
          <w:sz w:val="20"/>
          <w:szCs w:val="20"/>
        </w:rPr>
      </w:pPr>
      <w:r w:rsidRPr="00F8721D">
        <w:rPr>
          <w:rFonts w:ascii="Times New Roman" w:hAnsi="Times New Roman" w:cs="Times New Roman"/>
          <w:color w:val="222222"/>
          <w:sz w:val="20"/>
          <w:szCs w:val="20"/>
        </w:rPr>
        <w:t>Las empresas solo podrán dirigir sus ofertas a c</w:t>
      </w:r>
      <w:r w:rsidRPr="00F8721D">
        <w:rPr>
          <w:rStyle w:val="Textoennegrita"/>
          <w:rFonts w:ascii="Times New Roman" w:hAnsi="Times New Roman" w:cs="Times New Roman"/>
          <w:color w:val="222222"/>
          <w:sz w:val="20"/>
          <w:szCs w:val="20"/>
        </w:rPr>
        <w:t>lientes registrados y verificados</w:t>
      </w:r>
      <w:r w:rsidRPr="00F8721D">
        <w:rPr>
          <w:rFonts w:ascii="Times New Roman" w:hAnsi="Times New Roman" w:cs="Times New Roman"/>
          <w:color w:val="222222"/>
          <w:sz w:val="20"/>
          <w:szCs w:val="20"/>
        </w:rPr>
        <w:t> y, en ningún caso, a personas que hayan mostrado comportamientos patológicos en la actividad del juego.</w:t>
      </w:r>
    </w:p>
    <w:p w:rsidR="005C4CFE" w:rsidRPr="005C4CFE" w:rsidRDefault="00D11F83" w:rsidP="00D7475A">
      <w:pPr>
        <w:numPr>
          <w:ilvl w:val="0"/>
          <w:numId w:val="4"/>
        </w:numPr>
        <w:shd w:val="clear" w:color="auto" w:fill="FFFFFF"/>
        <w:spacing w:before="100" w:beforeAutospacing="1" w:after="100" w:afterAutospacing="1" w:line="240" w:lineRule="auto"/>
        <w:jc w:val="both"/>
        <w:rPr>
          <w:rFonts w:ascii="Times New Roman" w:hAnsi="Times New Roman" w:cs="Times New Roman"/>
          <w:color w:val="222222"/>
          <w:sz w:val="20"/>
          <w:szCs w:val="20"/>
        </w:rPr>
      </w:pPr>
      <w:r w:rsidRPr="00F8721D">
        <w:rPr>
          <w:rFonts w:ascii="Times New Roman" w:hAnsi="Times New Roman" w:cs="Times New Roman"/>
          <w:color w:val="222222"/>
          <w:sz w:val="20"/>
          <w:szCs w:val="20"/>
        </w:rPr>
        <w:t>Los clubes deportivos no podrán firmar contratos de patrocinio con casas de apuestas que implique llevar publicidad de</w:t>
      </w:r>
      <w:r w:rsidRPr="00F8721D">
        <w:rPr>
          <w:rStyle w:val="Textoennegrita"/>
          <w:rFonts w:ascii="Times New Roman" w:hAnsi="Times New Roman" w:cs="Times New Roman"/>
          <w:color w:val="222222"/>
          <w:sz w:val="20"/>
          <w:szCs w:val="20"/>
        </w:rPr>
        <w:t> juegos de azar en camisetas y equipaciones.</w:t>
      </w:r>
    </w:p>
    <w:p w:rsidR="00D11F83" w:rsidRPr="00F8721D" w:rsidRDefault="00D11F83" w:rsidP="00D7475A">
      <w:pPr>
        <w:numPr>
          <w:ilvl w:val="0"/>
          <w:numId w:val="4"/>
        </w:numPr>
        <w:shd w:val="clear" w:color="auto" w:fill="FFFFFF"/>
        <w:spacing w:before="100" w:beforeAutospacing="1" w:after="100" w:afterAutospacing="1" w:line="240" w:lineRule="auto"/>
        <w:jc w:val="both"/>
        <w:rPr>
          <w:rFonts w:ascii="Times New Roman" w:hAnsi="Times New Roman" w:cs="Times New Roman"/>
          <w:color w:val="222222"/>
          <w:sz w:val="20"/>
          <w:szCs w:val="20"/>
        </w:rPr>
      </w:pPr>
      <w:r w:rsidRPr="00F8721D">
        <w:rPr>
          <w:rFonts w:ascii="Times New Roman" w:hAnsi="Times New Roman" w:cs="Times New Roman"/>
          <w:color w:val="222222"/>
          <w:sz w:val="20"/>
          <w:szCs w:val="20"/>
        </w:rPr>
        <w:t>La publicidad de apuestas en</w:t>
      </w:r>
      <w:r w:rsidRPr="00F8721D">
        <w:rPr>
          <w:rStyle w:val="Textoennegrita"/>
          <w:rFonts w:ascii="Times New Roman" w:hAnsi="Times New Roman" w:cs="Times New Roman"/>
          <w:color w:val="222222"/>
          <w:sz w:val="20"/>
          <w:szCs w:val="20"/>
        </w:rPr>
        <w:t> estadios deportivos</w:t>
      </w:r>
      <w:r w:rsidRPr="00F8721D">
        <w:rPr>
          <w:rFonts w:ascii="Times New Roman" w:hAnsi="Times New Roman" w:cs="Times New Roman"/>
          <w:color w:val="222222"/>
          <w:sz w:val="20"/>
          <w:szCs w:val="20"/>
        </w:rPr>
        <w:t> deberá ajustarse a los mismos horarios que al resto de soportes.</w:t>
      </w:r>
    </w:p>
    <w:p w:rsidR="009254D7" w:rsidRDefault="009254D7" w:rsidP="00D7475A">
      <w:pPr>
        <w:shd w:val="clear" w:color="auto" w:fill="FFFFFF"/>
        <w:spacing w:before="100" w:beforeAutospacing="1" w:after="100" w:afterAutospacing="1" w:line="300" w:lineRule="atLeast"/>
        <w:jc w:val="both"/>
        <w:rPr>
          <w:rFonts w:ascii="Times New Roman" w:hAnsi="Times New Roman" w:cs="Times New Roman"/>
          <w:sz w:val="20"/>
        </w:rPr>
      </w:pPr>
    </w:p>
    <w:p w:rsidR="009254D7" w:rsidRDefault="009254D7" w:rsidP="00D7475A">
      <w:pPr>
        <w:pStyle w:val="Ttulo4"/>
        <w:jc w:val="both"/>
      </w:pPr>
      <w:r>
        <w:lastRenderedPageBreak/>
        <w:t>Ley de protección de datos</w:t>
      </w:r>
    </w:p>
    <w:p w:rsidR="005C4CFE" w:rsidRDefault="009D238E" w:rsidP="00D7475A">
      <w:pPr>
        <w:shd w:val="clear" w:color="auto" w:fill="FFFFFF"/>
        <w:spacing w:before="100" w:beforeAutospacing="1" w:after="100" w:afterAutospacing="1" w:line="300" w:lineRule="atLeast"/>
        <w:jc w:val="both"/>
        <w:rPr>
          <w:rFonts w:ascii="Times New Roman" w:hAnsi="Times New Roman" w:cs="Times New Roman"/>
          <w:sz w:val="20"/>
        </w:rPr>
      </w:pPr>
      <w:r w:rsidRPr="003E5C3F">
        <w:rPr>
          <w:rFonts w:ascii="Times New Roman" w:hAnsi="Times New Roman" w:cs="Times New Roman"/>
          <w:sz w:val="20"/>
        </w:rPr>
        <w:t xml:space="preserve">Actualmente </w:t>
      </w:r>
      <w:r w:rsidR="003E5C3F">
        <w:rPr>
          <w:rFonts w:ascii="Times New Roman" w:hAnsi="Times New Roman" w:cs="Times New Roman"/>
          <w:sz w:val="20"/>
        </w:rPr>
        <w:t xml:space="preserve">España está regida bajo la </w:t>
      </w:r>
      <w:r w:rsidR="003E5C3F" w:rsidRPr="003E5C3F">
        <w:rPr>
          <w:rFonts w:ascii="Times New Roman" w:hAnsi="Times New Roman" w:cs="Times New Roman"/>
          <w:sz w:val="20"/>
        </w:rPr>
        <w:t xml:space="preserve">Ley de Protección de Datos y Garantía de Derechos Digitales (LOPDGDD) </w:t>
      </w:r>
      <w:r w:rsidR="003E5C3F">
        <w:rPr>
          <w:rFonts w:ascii="Times New Roman" w:hAnsi="Times New Roman" w:cs="Times New Roman"/>
          <w:sz w:val="20"/>
        </w:rPr>
        <w:t xml:space="preserve">de </w:t>
      </w:r>
      <w:r w:rsidR="003E5C3F" w:rsidRPr="003E5C3F">
        <w:rPr>
          <w:rFonts w:ascii="Times New Roman" w:hAnsi="Times New Roman" w:cs="Times New Roman"/>
          <w:sz w:val="20"/>
        </w:rPr>
        <w:t>2018</w:t>
      </w:r>
      <w:r w:rsidR="003E5C3F">
        <w:rPr>
          <w:rFonts w:ascii="Times New Roman" w:hAnsi="Times New Roman" w:cs="Times New Roman"/>
          <w:sz w:val="20"/>
        </w:rPr>
        <w:t>.</w:t>
      </w:r>
    </w:p>
    <w:p w:rsidR="003E5C3F" w:rsidRDefault="003E5C3F" w:rsidP="00D7475A">
      <w:pPr>
        <w:shd w:val="clear" w:color="auto" w:fill="FFFFFF"/>
        <w:spacing w:before="100" w:beforeAutospacing="1" w:after="100" w:afterAutospacing="1" w:line="300" w:lineRule="atLeast"/>
        <w:jc w:val="both"/>
        <w:rPr>
          <w:rFonts w:ascii="Times New Roman" w:hAnsi="Times New Roman" w:cs="Times New Roman"/>
          <w:sz w:val="20"/>
        </w:rPr>
      </w:pPr>
      <w:r w:rsidRPr="003E5C3F">
        <w:rPr>
          <w:rFonts w:ascii="Times New Roman" w:hAnsi="Times New Roman" w:cs="Times New Roman"/>
          <w:sz w:val="20"/>
        </w:rPr>
        <w:t>Esta ley entró en vigor el 6 de diciembre de 2018, sustituyendo a la antigua Ley Orgánica 15/1999 de Protección de Datos de Carácter Personal. El objetivo de la LOPDGDD es adaptar la legislación española a la normativa europea, definida por el Reglamento General de Protección de Datos (RGPD), vigente desde el 25 de mayo de 2018.</w:t>
      </w:r>
    </w:p>
    <w:p w:rsidR="003E5C3F" w:rsidRDefault="003E5C3F" w:rsidP="00D7475A">
      <w:pPr>
        <w:shd w:val="clear" w:color="auto" w:fill="FFFFFF"/>
        <w:spacing w:before="100" w:beforeAutospacing="1" w:after="100" w:afterAutospacing="1" w:line="300" w:lineRule="atLeast"/>
        <w:jc w:val="both"/>
        <w:rPr>
          <w:rFonts w:ascii="Times New Roman" w:hAnsi="Times New Roman" w:cs="Times New Roman"/>
          <w:sz w:val="20"/>
        </w:rPr>
      </w:pPr>
      <w:r w:rsidRPr="003E5C3F">
        <w:rPr>
          <w:rFonts w:ascii="Times New Roman" w:hAnsi="Times New Roman" w:cs="Times New Roman"/>
          <w:sz w:val="20"/>
        </w:rPr>
        <w:t>Esta ley establece los requisitos y obligaciones de las empresas sobre cómo proceder con la información personal, así como los derechos que asisten a usuarios y consumidores.</w:t>
      </w:r>
    </w:p>
    <w:p w:rsidR="00372D8E" w:rsidRDefault="003E5C3F" w:rsidP="00D7475A">
      <w:pPr>
        <w:shd w:val="clear" w:color="auto" w:fill="FFFFFF"/>
        <w:spacing w:before="100" w:beforeAutospacing="1" w:after="100" w:afterAutospacing="1" w:line="300" w:lineRule="atLeast"/>
        <w:jc w:val="both"/>
        <w:rPr>
          <w:rFonts w:ascii="Times New Roman" w:hAnsi="Times New Roman" w:cs="Times New Roman"/>
          <w:sz w:val="20"/>
        </w:rPr>
      </w:pPr>
      <w:r w:rsidRPr="003E5C3F">
        <w:rPr>
          <w:rFonts w:ascii="Times New Roman" w:hAnsi="Times New Roman" w:cs="Times New Roman"/>
          <w:sz w:val="20"/>
        </w:rPr>
        <w:t>La finalidad de la LOPDGDD es proteger la intimidad, privacidad e integridad del individuo, en cumplimiento con el artículo 18.4 de la Constitución Española. Del mismo modo, regula las obligaciones del individuo en todo proceso de transferencia de datos para garantizar la seguridad del intercambio.</w:t>
      </w:r>
    </w:p>
    <w:p w:rsidR="00574E2F" w:rsidRDefault="003E5C3F" w:rsidP="00D7475A">
      <w:pPr>
        <w:jc w:val="both"/>
        <w:rPr>
          <w:rFonts w:ascii="Times New Roman" w:eastAsiaTheme="majorEastAsia" w:hAnsi="Times New Roman" w:cs="Times New Roman"/>
          <w:bCs/>
          <w:iCs/>
          <w:color w:val="002060"/>
          <w:sz w:val="20"/>
        </w:rPr>
      </w:pPr>
      <w:r w:rsidRPr="003E5C3F">
        <w:rPr>
          <w:rFonts w:ascii="Times New Roman" w:eastAsiaTheme="majorEastAsia" w:hAnsi="Times New Roman" w:cs="Times New Roman"/>
          <w:bCs/>
          <w:iCs/>
          <w:color w:val="002060"/>
          <w:sz w:val="20"/>
        </w:rPr>
        <w:t>Estas son algunas de sus novedades respecto a la ley anterior.</w:t>
      </w:r>
    </w:p>
    <w:p w:rsidR="003E5C3F" w:rsidRDefault="003E5C3F" w:rsidP="00D7475A">
      <w:pPr>
        <w:jc w:val="both"/>
        <w:rPr>
          <w:rFonts w:ascii="Times New Roman" w:eastAsiaTheme="majorEastAsia" w:hAnsi="Times New Roman" w:cs="Times New Roman"/>
          <w:bCs/>
          <w:iCs/>
          <w:color w:val="002060"/>
          <w:sz w:val="20"/>
        </w:rPr>
      </w:pPr>
    </w:p>
    <w:p w:rsidR="003E5C3F" w:rsidRDefault="003E5C3F" w:rsidP="00D7475A">
      <w:pPr>
        <w:jc w:val="both"/>
        <w:rPr>
          <w:color w:val="002060"/>
        </w:rPr>
      </w:pPr>
      <w:r>
        <w:rPr>
          <w:noProof/>
          <w:color w:val="002060"/>
          <w:lang w:eastAsia="es-ES"/>
        </w:rPr>
        <w:drawing>
          <wp:inline distT="0" distB="0" distL="0" distR="0">
            <wp:extent cx="4676969" cy="3808675"/>
            <wp:effectExtent l="19050" t="0" r="9331"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4677431" cy="3809051"/>
                    </a:xfrm>
                    <a:prstGeom prst="rect">
                      <a:avLst/>
                    </a:prstGeom>
                    <a:noFill/>
                    <a:ln w="9525">
                      <a:noFill/>
                      <a:miter lim="800000"/>
                      <a:headEnd/>
                      <a:tailEnd/>
                    </a:ln>
                  </pic:spPr>
                </pic:pic>
              </a:graphicData>
            </a:graphic>
          </wp:inline>
        </w:drawing>
      </w:r>
    </w:p>
    <w:p w:rsidR="00D0096E" w:rsidRDefault="00D0096E" w:rsidP="00D7475A">
      <w:pPr>
        <w:jc w:val="both"/>
        <w:rPr>
          <w:color w:val="002060"/>
        </w:rPr>
      </w:pPr>
    </w:p>
    <w:p w:rsidR="00D0096E" w:rsidRDefault="00D0096E" w:rsidP="00D7475A">
      <w:pPr>
        <w:jc w:val="both"/>
        <w:rPr>
          <w:color w:val="002060"/>
        </w:rPr>
      </w:pPr>
    </w:p>
    <w:p w:rsidR="00D0096E" w:rsidRDefault="00D0096E" w:rsidP="00D7475A">
      <w:pPr>
        <w:jc w:val="both"/>
        <w:rPr>
          <w:color w:val="002060"/>
        </w:rPr>
      </w:pPr>
    </w:p>
    <w:p w:rsidR="00D0096E" w:rsidRDefault="00D0096E" w:rsidP="00D7475A">
      <w:pPr>
        <w:jc w:val="both"/>
        <w:rPr>
          <w:color w:val="002060"/>
        </w:rPr>
      </w:pPr>
    </w:p>
    <w:p w:rsidR="00D0096E" w:rsidRDefault="00D0096E" w:rsidP="00D7475A">
      <w:pPr>
        <w:pStyle w:val="Ttulo4"/>
        <w:jc w:val="both"/>
        <w:rPr>
          <w:rFonts w:cs="Times New Roman"/>
        </w:rPr>
      </w:pPr>
      <w:r w:rsidRPr="00D0096E">
        <w:rPr>
          <w:rFonts w:cs="Times New Roman"/>
        </w:rPr>
        <w:lastRenderedPageBreak/>
        <w:t>Ley</w:t>
      </w:r>
      <w:r>
        <w:rPr>
          <w:color w:val="002060"/>
        </w:rPr>
        <w:t xml:space="preserve"> </w:t>
      </w:r>
      <w:r w:rsidRPr="00D0096E">
        <w:rPr>
          <w:rFonts w:cs="Times New Roman"/>
        </w:rPr>
        <w:t>de</w:t>
      </w:r>
      <w:r>
        <w:rPr>
          <w:color w:val="002060"/>
        </w:rPr>
        <w:t xml:space="preserve"> </w:t>
      </w:r>
      <w:r w:rsidRPr="00D0096E">
        <w:rPr>
          <w:rFonts w:cs="Times New Roman"/>
        </w:rPr>
        <w:t>propiedad</w:t>
      </w:r>
      <w:r>
        <w:rPr>
          <w:color w:val="002060"/>
        </w:rPr>
        <w:t xml:space="preserve">  </w:t>
      </w:r>
      <w:r w:rsidRPr="00D0096E">
        <w:rPr>
          <w:rFonts w:cs="Times New Roman"/>
        </w:rPr>
        <w:t>intelectual</w:t>
      </w:r>
    </w:p>
    <w:p w:rsidR="003E7FD2" w:rsidRPr="003E7FD2" w:rsidRDefault="003E7FD2" w:rsidP="00D7475A">
      <w:pPr>
        <w:jc w:val="both"/>
        <w:rPr>
          <w:rFonts w:ascii="Times New Roman" w:hAnsi="Times New Roman" w:cs="Times New Roman"/>
          <w:sz w:val="20"/>
        </w:rPr>
      </w:pPr>
      <w:r w:rsidRPr="003E7FD2">
        <w:rPr>
          <w:rFonts w:ascii="Times New Roman" w:hAnsi="Times New Roman" w:cs="Times New Roman"/>
          <w:sz w:val="20"/>
        </w:rPr>
        <w:t>Cuando hablamos de Propiedad Intelectual, nos referimos a la protección de obras de valor único, ya sean tangibles o intangibles. Del mismo modo, se entiende que la Ley de Propiedad Intelectual da protección a la originalidad en todas y cada una de sus facetas.</w:t>
      </w:r>
    </w:p>
    <w:p w:rsidR="003E7FD2" w:rsidRPr="003E7FD2" w:rsidRDefault="003E7FD2" w:rsidP="00D7475A">
      <w:pPr>
        <w:jc w:val="both"/>
        <w:rPr>
          <w:rFonts w:ascii="Times New Roman" w:hAnsi="Times New Roman" w:cs="Times New Roman"/>
          <w:sz w:val="20"/>
        </w:rPr>
      </w:pPr>
      <w:r w:rsidRPr="003E7FD2">
        <w:rPr>
          <w:rFonts w:ascii="Times New Roman" w:hAnsi="Times New Roman" w:cs="Times New Roman"/>
          <w:sz w:val="20"/>
        </w:rPr>
        <w:t xml:space="preserve">La propiedad Intelectual en nuestro país queda regulada por el artículo 428 del Código Civil y </w:t>
      </w:r>
      <w:hyperlink r:id="rId20" w:history="1">
        <w:r w:rsidRPr="003E7FD2">
          <w:rPr>
            <w:rStyle w:val="Hipervnculo"/>
            <w:rFonts w:ascii="Times New Roman" w:hAnsi="Times New Roman" w:cs="Times New Roman"/>
            <w:sz w:val="20"/>
          </w:rPr>
          <w:t>el Real Decreto Legislativo 1/1996</w:t>
        </w:r>
      </w:hyperlink>
      <w:r w:rsidRPr="003E7FD2">
        <w:rPr>
          <w:rFonts w:ascii="Times New Roman" w:hAnsi="Times New Roman" w:cs="Times New Roman"/>
          <w:sz w:val="20"/>
        </w:rPr>
        <w:t>, de 12 de abril, dónde queda definida como:  “la obra literaria, artística o científica, expresadas en cualquier medio (libros, escritos, composiciones musicales, obras, coreografías, obras audiovisuales, esculturas, obras pictóricas, planos, maquetas, mapas, fotografías, programas de ordenador y bases de datos) que corresponde a su autor por el solo hecho de su creación, que tiene derecho a explotarla y disponer de ella a su voluntad”.</w:t>
      </w:r>
    </w:p>
    <w:p w:rsidR="003E7FD2" w:rsidRDefault="003E7FD2" w:rsidP="00D7475A">
      <w:pPr>
        <w:jc w:val="both"/>
        <w:rPr>
          <w:rFonts w:ascii="Times New Roman" w:hAnsi="Times New Roman" w:cs="Times New Roman"/>
          <w:sz w:val="20"/>
        </w:rPr>
      </w:pPr>
      <w:r w:rsidRPr="003E7FD2">
        <w:rPr>
          <w:rFonts w:ascii="Times New Roman" w:hAnsi="Times New Roman" w:cs="Times New Roman"/>
          <w:sz w:val="20"/>
        </w:rPr>
        <w:t>Esto se debe a que la protección de la propiedad intelectual implica la existencia de una serie de derechos que aseguran al creador de la obra ser propietario de la misma.</w:t>
      </w:r>
    </w:p>
    <w:p w:rsidR="003E7FD2" w:rsidRPr="003E7FD2" w:rsidRDefault="003E7FD2" w:rsidP="00D7475A">
      <w:pPr>
        <w:jc w:val="both"/>
        <w:rPr>
          <w:rFonts w:ascii="Times New Roman" w:hAnsi="Times New Roman" w:cs="Times New Roman"/>
          <w:sz w:val="20"/>
        </w:rPr>
      </w:pPr>
      <w:r>
        <w:rPr>
          <w:rFonts w:ascii="Times New Roman" w:hAnsi="Times New Roman" w:cs="Times New Roman"/>
          <w:sz w:val="20"/>
        </w:rPr>
        <w:t xml:space="preserve">Existen </w:t>
      </w:r>
      <w:r w:rsidRPr="003E7FD2">
        <w:rPr>
          <w:rFonts w:ascii="Times New Roman" w:hAnsi="Times New Roman" w:cs="Times New Roman"/>
          <w:sz w:val="20"/>
        </w:rPr>
        <w:t>dos grandes grupos o tipos de derechos del autor:</w:t>
      </w:r>
    </w:p>
    <w:p w:rsidR="003E7FD2" w:rsidRPr="003E7FD2" w:rsidRDefault="003E7FD2" w:rsidP="00D7475A">
      <w:pPr>
        <w:pStyle w:val="Prrafodelista"/>
        <w:numPr>
          <w:ilvl w:val="0"/>
          <w:numId w:val="5"/>
        </w:numPr>
        <w:jc w:val="both"/>
        <w:rPr>
          <w:rFonts w:ascii="Times New Roman" w:hAnsi="Times New Roman" w:cs="Times New Roman"/>
          <w:sz w:val="20"/>
        </w:rPr>
      </w:pPr>
      <w:r w:rsidRPr="003E7FD2">
        <w:rPr>
          <w:rFonts w:ascii="Times New Roman" w:hAnsi="Times New Roman" w:cs="Times New Roman"/>
          <w:sz w:val="20"/>
        </w:rPr>
        <w:t>Los derechos morales:</w:t>
      </w:r>
    </w:p>
    <w:p w:rsidR="003E7FD2" w:rsidRPr="003E7FD2" w:rsidRDefault="003E7FD2" w:rsidP="00D7475A">
      <w:pPr>
        <w:ind w:left="720"/>
        <w:jc w:val="both"/>
        <w:rPr>
          <w:rFonts w:ascii="Times New Roman" w:hAnsi="Times New Roman" w:cs="Times New Roman"/>
          <w:sz w:val="20"/>
        </w:rPr>
      </w:pPr>
      <w:r w:rsidRPr="003E7FD2">
        <w:rPr>
          <w:rFonts w:ascii="Times New Roman" w:hAnsi="Times New Roman" w:cs="Times New Roman"/>
          <w:sz w:val="20"/>
        </w:rPr>
        <w:t>Estos derechos corresponden al autor de la obra y es irrenunciable e inalienable por su parte, lo que significa que no se puede renunciar ni ceder a nadie dichos derechos. Estos derechos aluden a la esfera más íntima del autor. A través de estos derechos de autor se protege la identidad y reputación del autor de la obra.  Los derechos de autor son atemporales, es decir, sin límite en el tiempo.</w:t>
      </w:r>
    </w:p>
    <w:p w:rsidR="003E7FD2" w:rsidRDefault="003E7FD2" w:rsidP="00D7475A">
      <w:pPr>
        <w:pStyle w:val="Prrafodelista"/>
        <w:numPr>
          <w:ilvl w:val="0"/>
          <w:numId w:val="5"/>
        </w:numPr>
        <w:jc w:val="both"/>
        <w:rPr>
          <w:rFonts w:ascii="Times New Roman" w:hAnsi="Times New Roman" w:cs="Times New Roman"/>
          <w:sz w:val="20"/>
        </w:rPr>
      </w:pPr>
      <w:r w:rsidRPr="003E7FD2">
        <w:rPr>
          <w:rFonts w:ascii="Times New Roman" w:hAnsi="Times New Roman" w:cs="Times New Roman"/>
          <w:sz w:val="20"/>
        </w:rPr>
        <w:t>Los derechos patrimoniales:</w:t>
      </w:r>
    </w:p>
    <w:p w:rsidR="003E7FD2" w:rsidRPr="003E7FD2" w:rsidRDefault="003E7FD2" w:rsidP="00D7475A">
      <w:pPr>
        <w:pStyle w:val="Prrafodelista"/>
        <w:jc w:val="both"/>
        <w:rPr>
          <w:rFonts w:ascii="Times New Roman" w:hAnsi="Times New Roman" w:cs="Times New Roman"/>
          <w:sz w:val="20"/>
        </w:rPr>
      </w:pPr>
    </w:p>
    <w:p w:rsidR="00D0096E" w:rsidRDefault="003E7FD2" w:rsidP="00D7475A">
      <w:pPr>
        <w:pStyle w:val="Prrafodelista"/>
        <w:jc w:val="both"/>
        <w:rPr>
          <w:rFonts w:ascii="Times New Roman" w:hAnsi="Times New Roman" w:cs="Times New Roman"/>
          <w:sz w:val="20"/>
        </w:rPr>
      </w:pPr>
      <w:r w:rsidRPr="003E7FD2">
        <w:rPr>
          <w:rFonts w:ascii="Times New Roman" w:hAnsi="Times New Roman" w:cs="Times New Roman"/>
          <w:sz w:val="20"/>
        </w:rPr>
        <w:t>Estos derechos, en cambio, sí que se pueden ceder a un tercero. Facultan al autor de la obra a decidir sobre el uso que se le da a la misma, la cual no se puede llevar a cabo sin su autorización expresa. A excepción de determinados casos previstos en la actual Ley de Propiedad Intelectual en España, conocidos como límites o excepciones.</w:t>
      </w:r>
    </w:p>
    <w:p w:rsidR="003E7FD2" w:rsidRDefault="003E7FD2" w:rsidP="00D7475A">
      <w:pPr>
        <w:jc w:val="both"/>
        <w:rPr>
          <w:rFonts w:ascii="Times New Roman" w:hAnsi="Times New Roman" w:cs="Times New Roman"/>
          <w:sz w:val="20"/>
        </w:rPr>
      </w:pPr>
    </w:p>
    <w:p w:rsidR="003E7FD2" w:rsidRPr="003E7FD2" w:rsidRDefault="003E7FD2" w:rsidP="00D7475A">
      <w:pPr>
        <w:jc w:val="both"/>
        <w:rPr>
          <w:rFonts w:ascii="Times New Roman" w:hAnsi="Times New Roman" w:cs="Times New Roman"/>
          <w:sz w:val="20"/>
        </w:rPr>
      </w:pPr>
    </w:p>
    <w:p w:rsidR="00820D14" w:rsidRDefault="00D30973" w:rsidP="00D7475A">
      <w:pPr>
        <w:pStyle w:val="Ttulo4"/>
        <w:jc w:val="both"/>
      </w:pPr>
      <w:r>
        <w:t>Registro de marca</w:t>
      </w:r>
    </w:p>
    <w:p w:rsidR="00820D14" w:rsidRPr="00F8721D" w:rsidRDefault="00820D14" w:rsidP="00D7475A">
      <w:pPr>
        <w:jc w:val="both"/>
        <w:rPr>
          <w:rFonts w:ascii="Times New Roman" w:hAnsi="Times New Roman" w:cs="Times New Roman"/>
          <w:sz w:val="20"/>
        </w:rPr>
      </w:pPr>
      <w:r w:rsidRPr="00F8721D">
        <w:rPr>
          <w:rFonts w:ascii="Times New Roman" w:hAnsi="Times New Roman" w:cs="Times New Roman"/>
          <w:sz w:val="20"/>
        </w:rPr>
        <w:t>En España registrar una marca o nombre comercial cuesta 144€ por la primera clase solicitada, y 93€ por la segunda y sucesivas con un descuento si usas la vía telemática.</w:t>
      </w:r>
    </w:p>
    <w:p w:rsidR="008B2516" w:rsidRPr="00F8721D" w:rsidRDefault="008B2516" w:rsidP="00D7475A">
      <w:pPr>
        <w:jc w:val="both"/>
        <w:rPr>
          <w:rFonts w:ascii="Times New Roman" w:hAnsi="Times New Roman" w:cs="Times New Roman"/>
          <w:sz w:val="20"/>
        </w:rPr>
      </w:pPr>
      <w:r w:rsidRPr="00F8721D">
        <w:rPr>
          <w:rFonts w:ascii="Times New Roman" w:hAnsi="Times New Roman" w:cs="Times New Roman"/>
          <w:sz w:val="20"/>
        </w:rPr>
        <w:t>El registrar de marca es algo fundamental en cualquier negocio, ya que, es lo que te confiere la propiedad y el derecho de uso de tu nombre comercial.</w:t>
      </w:r>
    </w:p>
    <w:p w:rsidR="00820D14" w:rsidRPr="00F8721D" w:rsidRDefault="008B2516" w:rsidP="00D7475A">
      <w:pPr>
        <w:jc w:val="both"/>
        <w:rPr>
          <w:rFonts w:ascii="Times New Roman" w:hAnsi="Times New Roman" w:cs="Times New Roman"/>
          <w:sz w:val="20"/>
        </w:rPr>
      </w:pPr>
      <w:r w:rsidRPr="00F8721D">
        <w:rPr>
          <w:rFonts w:ascii="Times New Roman" w:hAnsi="Times New Roman" w:cs="Times New Roman"/>
          <w:color w:val="000000"/>
          <w:sz w:val="20"/>
          <w:bdr w:val="none" w:sz="0" w:space="0" w:color="auto" w:frame="1"/>
          <w:shd w:val="clear" w:color="auto" w:fill="FFFFFF"/>
        </w:rPr>
        <w:t xml:space="preserve">Lo primero que es debe hacer es comprobar su disponibilidad. La oficina de Patentes y Marcas cuenta con una base de datos en la que se encuentran todas aquellas denominaciones de marcas, así que es importante consultar en </w:t>
      </w:r>
      <w:r w:rsidR="00F8721D" w:rsidRPr="00F8721D">
        <w:rPr>
          <w:rFonts w:ascii="Times New Roman" w:hAnsi="Times New Roman" w:cs="Times New Roman"/>
          <w:color w:val="000000"/>
          <w:sz w:val="20"/>
          <w:bdr w:val="none" w:sz="0" w:space="0" w:color="auto" w:frame="1"/>
          <w:shd w:val="clear" w:color="auto" w:fill="FFFFFF"/>
        </w:rPr>
        <w:t xml:space="preserve">la página web de la </w:t>
      </w:r>
      <w:hyperlink r:id="rId21" w:history="1">
        <w:r w:rsidR="00F8721D" w:rsidRPr="00F8721D">
          <w:rPr>
            <w:rStyle w:val="Hipervnculo"/>
            <w:rFonts w:ascii="Times New Roman" w:hAnsi="Times New Roman" w:cs="Times New Roman"/>
            <w:sz w:val="20"/>
            <w:bdr w:val="none" w:sz="0" w:space="0" w:color="auto" w:frame="1"/>
            <w:shd w:val="clear" w:color="auto" w:fill="FFFFFF"/>
          </w:rPr>
          <w:t>Oficina Española de Patentes y Marcas</w:t>
        </w:r>
      </w:hyperlink>
      <w:r w:rsidRPr="00F8721D">
        <w:rPr>
          <w:rFonts w:ascii="Times New Roman" w:hAnsi="Times New Roman" w:cs="Times New Roman"/>
          <w:color w:val="000000"/>
          <w:sz w:val="20"/>
          <w:bdr w:val="none" w:sz="0" w:space="0" w:color="auto" w:frame="1"/>
          <w:shd w:val="clear" w:color="auto" w:fill="FFFFFF"/>
        </w:rPr>
        <w:t> para </w:t>
      </w:r>
      <w:r w:rsidRPr="00F8721D">
        <w:rPr>
          <w:rFonts w:ascii="Times New Roman" w:hAnsi="Times New Roman" w:cs="Times New Roman"/>
          <w:bCs/>
          <w:color w:val="000000"/>
          <w:sz w:val="20"/>
          <w:shd w:val="clear" w:color="auto" w:fill="FFFFFF"/>
        </w:rPr>
        <w:t>saber si una marca está ya registrada</w:t>
      </w:r>
      <w:r w:rsidRPr="00F8721D">
        <w:rPr>
          <w:rFonts w:ascii="Times New Roman" w:hAnsi="Times New Roman" w:cs="Times New Roman"/>
          <w:color w:val="000000"/>
          <w:sz w:val="20"/>
          <w:bdr w:val="none" w:sz="0" w:space="0" w:color="auto" w:frame="1"/>
          <w:shd w:val="clear" w:color="auto" w:fill="FFFFFF"/>
        </w:rPr>
        <w:t>.</w:t>
      </w:r>
    </w:p>
    <w:p w:rsidR="0088363A" w:rsidRDefault="0088363A" w:rsidP="00D7475A">
      <w:pPr>
        <w:jc w:val="both"/>
        <w:rPr>
          <w:rFonts w:ascii="Times New Roman" w:hAnsi="Times New Roman" w:cs="Times New Roman"/>
          <w:sz w:val="20"/>
          <w:szCs w:val="20"/>
        </w:rPr>
      </w:pPr>
      <w:r w:rsidRPr="0088363A">
        <w:rPr>
          <w:rFonts w:ascii="Times New Roman" w:hAnsi="Times New Roman" w:cs="Times New Roman"/>
          <w:sz w:val="20"/>
          <w:szCs w:val="20"/>
        </w:rPr>
        <w:t>Algo que se debe tener en cuenta</w:t>
      </w:r>
      <w:r>
        <w:rPr>
          <w:rFonts w:ascii="Times New Roman" w:hAnsi="Times New Roman" w:cs="Times New Roman"/>
          <w:sz w:val="20"/>
          <w:szCs w:val="20"/>
        </w:rPr>
        <w:t xml:space="preserve"> es la clase o clases en las cuales quieres registrar tu marca. Para ello existe una clasificación en la que se engloban todas las clases y sus respectivos precios.</w:t>
      </w:r>
    </w:p>
    <w:p w:rsidR="00820D14" w:rsidRDefault="0088363A" w:rsidP="00D7475A">
      <w:pPr>
        <w:jc w:val="both"/>
        <w:rPr>
          <w:rFonts w:ascii="Times New Roman" w:hAnsi="Times New Roman" w:cs="Times New Roman"/>
          <w:sz w:val="20"/>
          <w:szCs w:val="20"/>
        </w:rPr>
      </w:pPr>
      <w:r>
        <w:rPr>
          <w:rFonts w:ascii="Times New Roman" w:hAnsi="Times New Roman" w:cs="Times New Roman"/>
          <w:sz w:val="20"/>
          <w:szCs w:val="20"/>
        </w:rPr>
        <w:t xml:space="preserve">Esta es la </w:t>
      </w:r>
      <w:hyperlink r:id="rId22" w:history="1">
        <w:r w:rsidR="006B22AA" w:rsidRPr="006B22AA">
          <w:rPr>
            <w:rStyle w:val="Hipervnculo"/>
            <w:rFonts w:ascii="Times New Roman" w:hAnsi="Times New Roman" w:cs="Times New Roman"/>
            <w:sz w:val="20"/>
            <w:szCs w:val="20"/>
          </w:rPr>
          <w:t>C</w:t>
        </w:r>
        <w:r w:rsidRPr="006B22AA">
          <w:rPr>
            <w:rStyle w:val="Hipervnculo"/>
            <w:rFonts w:ascii="Times New Roman" w:hAnsi="Times New Roman" w:cs="Times New Roman"/>
            <w:sz w:val="20"/>
            <w:szCs w:val="20"/>
          </w:rPr>
          <w:t>lasificación Niza</w:t>
        </w:r>
      </w:hyperlink>
      <w:r>
        <w:rPr>
          <w:rFonts w:ascii="Times New Roman" w:hAnsi="Times New Roman" w:cs="Times New Roman"/>
          <w:sz w:val="20"/>
          <w:szCs w:val="20"/>
        </w:rPr>
        <w:t>, y se divide en dos grupos: el primero (compuesto por 34 clases dirigidas a productos) y el segundo (compuesto por las 11 clases restantes, dirigidas estas a servicios).</w:t>
      </w:r>
    </w:p>
    <w:p w:rsidR="0088363A" w:rsidRDefault="0088363A" w:rsidP="00D7475A">
      <w:pPr>
        <w:jc w:val="both"/>
        <w:rPr>
          <w:rFonts w:ascii="Times New Roman" w:hAnsi="Times New Roman" w:cs="Times New Roman"/>
          <w:sz w:val="20"/>
          <w:szCs w:val="20"/>
        </w:rPr>
      </w:pPr>
      <w:r>
        <w:rPr>
          <w:rFonts w:ascii="Times New Roman" w:hAnsi="Times New Roman" w:cs="Times New Roman"/>
          <w:sz w:val="20"/>
          <w:szCs w:val="20"/>
        </w:rPr>
        <w:lastRenderedPageBreak/>
        <w:t>Sin embargo, en la gran mayoría de las ocasiones será suficiente con registrar tu marca en una o dos clases, siendo así el precio de 142€ por una o 234€. Dicho registro estará vigente por 10 años</w:t>
      </w:r>
      <w:r w:rsidR="006B22AA">
        <w:rPr>
          <w:rFonts w:ascii="Times New Roman" w:hAnsi="Times New Roman" w:cs="Times New Roman"/>
          <w:sz w:val="20"/>
          <w:szCs w:val="20"/>
        </w:rPr>
        <w:t>, con la opción de ir renovándolo indefinidamente pasado el plazo.</w:t>
      </w:r>
    </w:p>
    <w:p w:rsidR="00B44872" w:rsidRDefault="00B44872" w:rsidP="00D7475A">
      <w:pPr>
        <w:jc w:val="both"/>
        <w:rPr>
          <w:rFonts w:ascii="Times New Roman" w:hAnsi="Times New Roman" w:cs="Times New Roman"/>
          <w:sz w:val="20"/>
          <w:szCs w:val="20"/>
        </w:rPr>
      </w:pPr>
      <w:r w:rsidRPr="00B44872">
        <w:rPr>
          <w:rFonts w:ascii="Times New Roman" w:hAnsi="Times New Roman" w:cs="Times New Roman"/>
          <w:noProof/>
          <w:sz w:val="20"/>
          <w:szCs w:val="20"/>
          <w:lang w:eastAsia="es-ES"/>
        </w:rPr>
        <w:drawing>
          <wp:inline distT="0" distB="0" distL="0" distR="0">
            <wp:extent cx="4619708" cy="279551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4626429" cy="2799577"/>
                    </a:xfrm>
                    <a:prstGeom prst="rect">
                      <a:avLst/>
                    </a:prstGeom>
                  </pic:spPr>
                </pic:pic>
              </a:graphicData>
            </a:graphic>
          </wp:inline>
        </w:drawing>
      </w:r>
    </w:p>
    <w:p w:rsidR="006B22AA" w:rsidRDefault="006B22AA" w:rsidP="00D7475A">
      <w:pPr>
        <w:jc w:val="both"/>
        <w:rPr>
          <w:rFonts w:ascii="Times New Roman" w:hAnsi="Times New Roman" w:cs="Times New Roman"/>
          <w:sz w:val="20"/>
          <w:szCs w:val="20"/>
        </w:rPr>
      </w:pPr>
    </w:p>
    <w:p w:rsidR="00D30973" w:rsidRDefault="006B22AA" w:rsidP="00D7475A">
      <w:pPr>
        <w:pStyle w:val="Ttulo1"/>
        <w:jc w:val="both"/>
      </w:pPr>
      <w:r>
        <w:t>Datos generales del sector</w:t>
      </w:r>
    </w:p>
    <w:p w:rsidR="00B44872" w:rsidRDefault="00B44872" w:rsidP="00D7475A">
      <w:pPr>
        <w:ind w:left="708" w:hanging="708"/>
        <w:jc w:val="both"/>
      </w:pPr>
    </w:p>
    <w:p w:rsidR="006B22AA" w:rsidRDefault="009F27C5" w:rsidP="00D7475A">
      <w:pPr>
        <w:pStyle w:val="Ttulo4"/>
        <w:jc w:val="both"/>
      </w:pPr>
      <w:r>
        <w:t>Situación actual</w:t>
      </w:r>
    </w:p>
    <w:p w:rsidR="00755141" w:rsidRPr="00755141" w:rsidRDefault="00755141" w:rsidP="00D7475A">
      <w:pPr>
        <w:shd w:val="clear" w:color="auto" w:fill="FFFFFF"/>
        <w:spacing w:after="0" w:line="240" w:lineRule="auto"/>
        <w:jc w:val="both"/>
        <w:rPr>
          <w:rFonts w:ascii="Times New Roman" w:eastAsia="Times New Roman" w:hAnsi="Times New Roman" w:cs="Times New Roman"/>
          <w:color w:val="222222"/>
          <w:sz w:val="20"/>
          <w:szCs w:val="20"/>
          <w:lang w:eastAsia="es-ES"/>
        </w:rPr>
      </w:pPr>
      <w:r w:rsidRPr="00755141">
        <w:rPr>
          <w:rFonts w:ascii="Times New Roman" w:eastAsia="Times New Roman" w:hAnsi="Times New Roman" w:cs="Times New Roman"/>
          <w:color w:val="222222"/>
          <w:sz w:val="20"/>
          <w:szCs w:val="20"/>
          <w:lang w:eastAsia="es-ES"/>
        </w:rPr>
        <w:t>El sector del juego online se está consolidando como uno de los principales pilares de la industria del entretenimiento. En España, como en el resto del mundo, los casinos y las casas de apuestas en internet se han alzado como grandes estandartes del entretenimiento y reportan beneficios extraordinarios.</w:t>
      </w:r>
    </w:p>
    <w:p w:rsidR="00755141" w:rsidRPr="00755141" w:rsidRDefault="00755141" w:rsidP="00D7475A">
      <w:pPr>
        <w:shd w:val="clear" w:color="auto" w:fill="FFFFFF"/>
        <w:spacing w:after="0" w:line="240" w:lineRule="auto"/>
        <w:jc w:val="both"/>
        <w:rPr>
          <w:rFonts w:ascii="Times New Roman" w:eastAsia="Times New Roman" w:hAnsi="Times New Roman" w:cs="Times New Roman"/>
          <w:color w:val="222222"/>
          <w:sz w:val="20"/>
          <w:szCs w:val="20"/>
          <w:lang w:eastAsia="es-ES"/>
        </w:rPr>
      </w:pPr>
    </w:p>
    <w:p w:rsidR="00755141" w:rsidRPr="00755141" w:rsidRDefault="00755141" w:rsidP="00D7475A">
      <w:pPr>
        <w:shd w:val="clear" w:color="auto" w:fill="FFFFFF"/>
        <w:spacing w:after="0" w:line="240" w:lineRule="auto"/>
        <w:jc w:val="both"/>
        <w:rPr>
          <w:rFonts w:ascii="Times New Roman" w:eastAsia="Times New Roman" w:hAnsi="Times New Roman" w:cs="Times New Roman"/>
          <w:color w:val="222222"/>
          <w:sz w:val="20"/>
          <w:szCs w:val="20"/>
          <w:lang w:eastAsia="es-ES"/>
        </w:rPr>
      </w:pPr>
      <w:r w:rsidRPr="00755141">
        <w:rPr>
          <w:rFonts w:ascii="Times New Roman" w:eastAsia="Times New Roman" w:hAnsi="Times New Roman" w:cs="Times New Roman"/>
          <w:color w:val="222222"/>
          <w:sz w:val="20"/>
          <w:szCs w:val="20"/>
          <w:lang w:eastAsia="es-ES"/>
        </w:rPr>
        <w:t>La evolución de esta industria en el Estado español dio comienzo con la ley 13/2011. Esta nueva ley del juego vio el nacimiento de la Dirección General de Ordenación del Juego (DGOJ), un organismo del Ministerio de Hacienda encargado de velar por el cumplimiento del ordenamiento en materia de juego online. La regulación vigente dicta que las empresas deben solicitar una licencia a este organismo para operar bajo el paraguas de la legalidad.</w:t>
      </w:r>
    </w:p>
    <w:p w:rsidR="00755141" w:rsidRPr="00755141" w:rsidRDefault="00755141" w:rsidP="00D7475A">
      <w:pPr>
        <w:shd w:val="clear" w:color="auto" w:fill="FFFFFF"/>
        <w:spacing w:after="0" w:line="240" w:lineRule="auto"/>
        <w:jc w:val="both"/>
        <w:rPr>
          <w:rFonts w:ascii="Times New Roman" w:eastAsia="Times New Roman" w:hAnsi="Times New Roman" w:cs="Times New Roman"/>
          <w:color w:val="222222"/>
          <w:sz w:val="20"/>
          <w:szCs w:val="20"/>
          <w:lang w:eastAsia="es-ES"/>
        </w:rPr>
      </w:pPr>
    </w:p>
    <w:p w:rsidR="00755141" w:rsidRPr="00755141" w:rsidRDefault="00755141" w:rsidP="00D7475A">
      <w:pPr>
        <w:shd w:val="clear" w:color="auto" w:fill="FFFFFF"/>
        <w:spacing w:after="0" w:line="240" w:lineRule="auto"/>
        <w:jc w:val="both"/>
        <w:rPr>
          <w:rFonts w:ascii="Times New Roman" w:eastAsia="Times New Roman" w:hAnsi="Times New Roman" w:cs="Times New Roman"/>
          <w:color w:val="222222"/>
          <w:sz w:val="20"/>
          <w:szCs w:val="20"/>
          <w:lang w:eastAsia="es-ES"/>
        </w:rPr>
      </w:pPr>
      <w:r w:rsidRPr="00755141">
        <w:rPr>
          <w:rFonts w:ascii="Times New Roman" w:eastAsia="Times New Roman" w:hAnsi="Times New Roman" w:cs="Times New Roman"/>
          <w:color w:val="222222"/>
          <w:sz w:val="20"/>
          <w:szCs w:val="20"/>
          <w:lang w:eastAsia="es-ES"/>
        </w:rPr>
        <w:t>Gracias a la regulación que supuso este nuevo marco legal, las actividades económicas del sector contribuyen considerablemente a las arcas del Estado. Además, se protegen los derechos de los consumidores, dando a los jugadores la garantía de que sus datos personales no se encuentran comprometidos.</w:t>
      </w:r>
    </w:p>
    <w:p w:rsidR="00755141" w:rsidRPr="00755141" w:rsidRDefault="00755141" w:rsidP="00D7475A">
      <w:pPr>
        <w:shd w:val="clear" w:color="auto" w:fill="FFFFFF"/>
        <w:spacing w:after="0" w:line="240" w:lineRule="auto"/>
        <w:jc w:val="both"/>
        <w:rPr>
          <w:rFonts w:ascii="Times New Roman" w:eastAsia="Times New Roman" w:hAnsi="Times New Roman" w:cs="Times New Roman"/>
          <w:color w:val="222222"/>
          <w:sz w:val="20"/>
          <w:szCs w:val="20"/>
          <w:lang w:eastAsia="es-ES"/>
        </w:rPr>
      </w:pPr>
    </w:p>
    <w:p w:rsidR="00755141" w:rsidRPr="00755141" w:rsidRDefault="00755141" w:rsidP="00D7475A">
      <w:pPr>
        <w:shd w:val="clear" w:color="auto" w:fill="FFFFFF"/>
        <w:spacing w:after="0" w:line="240" w:lineRule="auto"/>
        <w:jc w:val="both"/>
        <w:rPr>
          <w:rFonts w:ascii="Times New Roman" w:eastAsia="Times New Roman" w:hAnsi="Times New Roman" w:cs="Times New Roman"/>
          <w:color w:val="222222"/>
          <w:sz w:val="20"/>
          <w:szCs w:val="20"/>
          <w:lang w:eastAsia="es-ES"/>
        </w:rPr>
      </w:pPr>
      <w:r w:rsidRPr="00755141">
        <w:rPr>
          <w:rFonts w:ascii="Times New Roman" w:eastAsia="Times New Roman" w:hAnsi="Times New Roman" w:cs="Times New Roman"/>
          <w:color w:val="222222"/>
          <w:sz w:val="20"/>
          <w:szCs w:val="20"/>
          <w:lang w:eastAsia="es-ES"/>
        </w:rPr>
        <w:t>Sin embargo, consciente de los posibles efectos de la exposición a los anuncios de esta industria aumentando el uso de estos servicios entre la gente joven (18 a 25 años), el gobierno está introduciendo nuevas regulaciones dentro del sector. De las regulaciones nuevas destacan la prohibición de la publicidad audiovisual fuera de las horas permitidas entre la 1 y las 5 de la madrugada, y la prohibición de los patrocinios de casas de apuestas. Esto último, se trata de algo que verá muy afectado el fútbol español, dado que 25 de los 42 equipos en la primera y segunda división exhiben marcas del sector en sus equitaciones. Además, las casas de apuestas no podrán ofrecer bonos promocionales para captar clientes, algo muy popular entre los usuarios nuevos.</w:t>
      </w:r>
    </w:p>
    <w:p w:rsidR="009F27C5" w:rsidRDefault="009F27C5" w:rsidP="00D7475A">
      <w:pPr>
        <w:jc w:val="both"/>
      </w:pPr>
    </w:p>
    <w:p w:rsidR="00BE6FD6" w:rsidRPr="009F27C5" w:rsidRDefault="00BE6FD6" w:rsidP="00D7475A">
      <w:pPr>
        <w:jc w:val="both"/>
      </w:pPr>
    </w:p>
    <w:p w:rsidR="00755141" w:rsidRPr="00BE6FD6" w:rsidRDefault="00755141" w:rsidP="00D7475A">
      <w:pPr>
        <w:shd w:val="clear" w:color="auto" w:fill="FFFFFF"/>
        <w:spacing w:after="0" w:line="240" w:lineRule="auto"/>
        <w:jc w:val="both"/>
        <w:rPr>
          <w:rFonts w:ascii="Times New Roman" w:eastAsia="Times New Roman" w:hAnsi="Times New Roman" w:cs="Times New Roman"/>
          <w:color w:val="222222"/>
          <w:sz w:val="20"/>
          <w:szCs w:val="20"/>
          <w:lang w:eastAsia="es-ES"/>
        </w:rPr>
      </w:pPr>
      <w:r w:rsidRPr="00BE6FD6">
        <w:rPr>
          <w:rFonts w:ascii="Times New Roman" w:eastAsia="Times New Roman" w:hAnsi="Times New Roman" w:cs="Times New Roman"/>
          <w:b/>
          <w:bCs/>
          <w:color w:val="222222"/>
          <w:sz w:val="20"/>
          <w:szCs w:val="20"/>
          <w:lang w:eastAsia="es-ES"/>
        </w:rPr>
        <w:lastRenderedPageBreak/>
        <w:t>Las razones de la popularidad</w:t>
      </w:r>
    </w:p>
    <w:p w:rsidR="00755141" w:rsidRPr="00BE6FD6" w:rsidRDefault="00755141" w:rsidP="00D7475A">
      <w:pPr>
        <w:shd w:val="clear" w:color="auto" w:fill="FFFFFF"/>
        <w:spacing w:after="0" w:line="240" w:lineRule="auto"/>
        <w:jc w:val="both"/>
        <w:rPr>
          <w:rFonts w:ascii="Times New Roman" w:eastAsia="Times New Roman" w:hAnsi="Times New Roman" w:cs="Times New Roman"/>
          <w:color w:val="222222"/>
          <w:sz w:val="20"/>
          <w:szCs w:val="20"/>
          <w:lang w:eastAsia="es-ES"/>
        </w:rPr>
      </w:pPr>
      <w:r w:rsidRPr="00BE6FD6">
        <w:rPr>
          <w:rFonts w:ascii="Times New Roman" w:eastAsia="Times New Roman" w:hAnsi="Times New Roman" w:cs="Times New Roman"/>
          <w:color w:val="222222"/>
          <w:sz w:val="20"/>
          <w:szCs w:val="20"/>
          <w:lang w:eastAsia="es-ES"/>
        </w:rPr>
        <w:t>Estos últimos años la popularidad del sector ha aumentado, a la par que sus ganancias. De hecho, desde que se le dio un marco legal, la industria no ha parado de crecer. Durante el año 2019 la industria del juego online reportó un total de beneficios de unos 747 millones de euros; un 6,95% más que durante el año anterior.</w:t>
      </w:r>
    </w:p>
    <w:p w:rsidR="00755141" w:rsidRPr="00BE6FD6" w:rsidRDefault="00755141" w:rsidP="00D7475A">
      <w:pPr>
        <w:shd w:val="clear" w:color="auto" w:fill="FFFFFF"/>
        <w:spacing w:after="0" w:line="240" w:lineRule="auto"/>
        <w:jc w:val="both"/>
        <w:rPr>
          <w:rFonts w:ascii="Times New Roman" w:eastAsia="Times New Roman" w:hAnsi="Times New Roman" w:cs="Times New Roman"/>
          <w:color w:val="222222"/>
          <w:sz w:val="20"/>
          <w:szCs w:val="20"/>
          <w:lang w:eastAsia="es-ES"/>
        </w:rPr>
      </w:pPr>
    </w:p>
    <w:p w:rsidR="00755141" w:rsidRDefault="00755141" w:rsidP="00D7475A">
      <w:pPr>
        <w:shd w:val="clear" w:color="auto" w:fill="FFFFFF"/>
        <w:spacing w:after="0" w:line="240" w:lineRule="auto"/>
        <w:jc w:val="both"/>
        <w:rPr>
          <w:rFonts w:ascii="Times New Roman" w:eastAsia="Times New Roman" w:hAnsi="Times New Roman" w:cs="Times New Roman"/>
          <w:color w:val="222222"/>
          <w:sz w:val="20"/>
          <w:szCs w:val="20"/>
          <w:lang w:eastAsia="es-ES"/>
        </w:rPr>
      </w:pPr>
      <w:r w:rsidRPr="00BE6FD6">
        <w:rPr>
          <w:rFonts w:ascii="Times New Roman" w:eastAsia="Times New Roman" w:hAnsi="Times New Roman" w:cs="Times New Roman"/>
          <w:color w:val="222222"/>
          <w:sz w:val="20"/>
          <w:szCs w:val="20"/>
          <w:lang w:eastAsia="es-ES"/>
        </w:rPr>
        <w:t>Este impulso se ha producido gracias a la diversificación y el gran desarrollo tecnológico que ha seguido la industria. Entre la innovación tecnológica, la seguridad que brinda la regulación estatal y las promociones de las casas de apuestas, los negocios del juego han subido como la espuma.</w:t>
      </w:r>
    </w:p>
    <w:p w:rsidR="00BE6FD6" w:rsidRDefault="00BE6FD6" w:rsidP="00D7475A">
      <w:pPr>
        <w:shd w:val="clear" w:color="auto" w:fill="FFFFFF"/>
        <w:spacing w:after="0" w:line="240" w:lineRule="auto"/>
        <w:jc w:val="both"/>
        <w:rPr>
          <w:rFonts w:ascii="Times New Roman" w:eastAsia="Times New Roman" w:hAnsi="Times New Roman" w:cs="Times New Roman"/>
          <w:color w:val="222222"/>
          <w:sz w:val="20"/>
          <w:szCs w:val="20"/>
          <w:lang w:eastAsia="es-ES"/>
        </w:rPr>
      </w:pPr>
    </w:p>
    <w:p w:rsidR="00BE6FD6" w:rsidRPr="00BE6FD6" w:rsidRDefault="00BE6FD6" w:rsidP="00D7475A">
      <w:pPr>
        <w:shd w:val="clear" w:color="auto" w:fill="FFFFFF"/>
        <w:spacing w:after="0" w:line="240" w:lineRule="auto"/>
        <w:jc w:val="both"/>
        <w:rPr>
          <w:rFonts w:ascii="Times New Roman" w:eastAsia="Times New Roman" w:hAnsi="Times New Roman" w:cs="Times New Roman"/>
          <w:color w:val="222222"/>
          <w:sz w:val="20"/>
          <w:szCs w:val="20"/>
          <w:lang w:eastAsia="es-ES"/>
        </w:rPr>
      </w:pPr>
      <w:r>
        <w:rPr>
          <w:rFonts w:ascii="Times New Roman" w:eastAsia="Times New Roman" w:hAnsi="Times New Roman" w:cs="Times New Roman"/>
          <w:noProof/>
          <w:color w:val="222222"/>
          <w:sz w:val="20"/>
          <w:szCs w:val="20"/>
          <w:lang w:eastAsia="es-ES"/>
        </w:rPr>
        <w:drawing>
          <wp:inline distT="0" distB="0" distL="0" distR="0">
            <wp:extent cx="5995284" cy="3324373"/>
            <wp:effectExtent l="19050" t="0" r="5466" b="0"/>
            <wp:docPr id="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5991179" cy="3322097"/>
                    </a:xfrm>
                    <a:prstGeom prst="rect">
                      <a:avLst/>
                    </a:prstGeom>
                    <a:noFill/>
                    <a:ln w="9525">
                      <a:noFill/>
                      <a:miter lim="800000"/>
                      <a:headEnd/>
                      <a:tailEnd/>
                    </a:ln>
                  </pic:spPr>
                </pic:pic>
              </a:graphicData>
            </a:graphic>
          </wp:inline>
        </w:drawing>
      </w:r>
    </w:p>
    <w:p w:rsidR="00D30973" w:rsidRPr="00BE6FD6" w:rsidRDefault="00D30973" w:rsidP="00D7475A">
      <w:pPr>
        <w:jc w:val="both"/>
        <w:rPr>
          <w:rFonts w:ascii="Times New Roman" w:hAnsi="Times New Roman" w:cs="Times New Roman"/>
          <w:sz w:val="20"/>
          <w:szCs w:val="20"/>
        </w:rPr>
      </w:pPr>
    </w:p>
    <w:p w:rsidR="00755141" w:rsidRPr="00BE6FD6" w:rsidRDefault="00755141" w:rsidP="00D7475A">
      <w:pPr>
        <w:pStyle w:val="NormalWeb"/>
        <w:shd w:val="clear" w:color="auto" w:fill="FFFFFF"/>
        <w:spacing w:before="0" w:beforeAutospacing="0" w:after="0" w:afterAutospacing="0"/>
        <w:jc w:val="both"/>
        <w:rPr>
          <w:color w:val="222222"/>
          <w:sz w:val="20"/>
          <w:szCs w:val="20"/>
        </w:rPr>
      </w:pPr>
      <w:r w:rsidRPr="00BE6FD6">
        <w:rPr>
          <w:rStyle w:val="Textoennegrita"/>
          <w:rFonts w:eastAsiaTheme="majorEastAsia"/>
          <w:color w:val="222222"/>
          <w:sz w:val="20"/>
          <w:szCs w:val="20"/>
        </w:rPr>
        <w:t>El covid-19 y los casinos físicos</w:t>
      </w:r>
    </w:p>
    <w:p w:rsidR="00755141" w:rsidRPr="00BE6FD6" w:rsidRDefault="00755141" w:rsidP="00D7475A">
      <w:pPr>
        <w:pStyle w:val="NormalWeb"/>
        <w:shd w:val="clear" w:color="auto" w:fill="FFFFFF"/>
        <w:spacing w:before="0" w:beforeAutospacing="0" w:after="0" w:afterAutospacing="0"/>
        <w:jc w:val="both"/>
        <w:rPr>
          <w:color w:val="222222"/>
          <w:sz w:val="20"/>
          <w:szCs w:val="20"/>
        </w:rPr>
      </w:pPr>
      <w:r w:rsidRPr="00BE6FD6">
        <w:rPr>
          <w:color w:val="222222"/>
          <w:sz w:val="20"/>
          <w:szCs w:val="20"/>
        </w:rPr>
        <w:t>Según estudios como el realizado por la Imperial College London, las</w:t>
      </w:r>
      <w:hyperlink r:id="rId25" w:history="1">
        <w:r w:rsidRPr="00BE6FD6">
          <w:rPr>
            <w:rStyle w:val="Hipervnculo"/>
            <w:color w:val="6699CC"/>
            <w:sz w:val="20"/>
            <w:szCs w:val="20"/>
            <w:u w:val="none"/>
          </w:rPr>
          <w:t> medidas de distanciamiento social</w:t>
        </w:r>
      </w:hyperlink>
      <w:r w:rsidRPr="00BE6FD6">
        <w:rPr>
          <w:color w:val="222222"/>
          <w:sz w:val="20"/>
          <w:szCs w:val="20"/>
        </w:rPr>
        <w:t> han salvado millones de vidas. El confinamiento, por mucho que nos pueda molestar, es un método avalado por la ciencia que controla el contagio del virus y salva vidas.</w:t>
      </w:r>
    </w:p>
    <w:p w:rsidR="00755141" w:rsidRPr="00BE6FD6" w:rsidRDefault="00755141" w:rsidP="00D7475A">
      <w:pPr>
        <w:pStyle w:val="NormalWeb"/>
        <w:shd w:val="clear" w:color="auto" w:fill="FFFFFF"/>
        <w:spacing w:before="0" w:beforeAutospacing="0" w:after="0" w:afterAutospacing="0"/>
        <w:jc w:val="both"/>
        <w:rPr>
          <w:color w:val="222222"/>
          <w:sz w:val="20"/>
          <w:szCs w:val="20"/>
        </w:rPr>
      </w:pPr>
    </w:p>
    <w:p w:rsidR="00755141" w:rsidRPr="00BE6FD6" w:rsidRDefault="00755141" w:rsidP="00D7475A">
      <w:pPr>
        <w:pStyle w:val="NormalWeb"/>
        <w:shd w:val="clear" w:color="auto" w:fill="FFFFFF"/>
        <w:spacing w:before="0" w:beforeAutospacing="0" w:after="0" w:afterAutospacing="0"/>
        <w:jc w:val="both"/>
        <w:rPr>
          <w:color w:val="222222"/>
          <w:sz w:val="20"/>
          <w:szCs w:val="20"/>
        </w:rPr>
      </w:pPr>
      <w:r w:rsidRPr="00BE6FD6">
        <w:rPr>
          <w:color w:val="222222"/>
          <w:sz w:val="20"/>
          <w:szCs w:val="20"/>
        </w:rPr>
        <w:t>Sin embargo, este tipo de medidas también han provocado problemas por la economía del país. La llegada de la pandemia a principios de este año 2020 es en gran parte la responsable de la pérdida de relevancia de las casas de apuestas y casinos en establecimientos físicos. Las medidas de contención del virus han significado el confinamiento de la población y los establecimientos físicos han recibido un duro golpe económico.</w:t>
      </w:r>
    </w:p>
    <w:p w:rsidR="00755141" w:rsidRPr="00BE6FD6" w:rsidRDefault="00755141" w:rsidP="00D7475A">
      <w:pPr>
        <w:pStyle w:val="NormalWeb"/>
        <w:shd w:val="clear" w:color="auto" w:fill="FFFFFF"/>
        <w:spacing w:before="0" w:beforeAutospacing="0" w:after="0" w:afterAutospacing="0"/>
        <w:jc w:val="both"/>
        <w:rPr>
          <w:color w:val="222222"/>
          <w:sz w:val="20"/>
          <w:szCs w:val="20"/>
        </w:rPr>
      </w:pPr>
    </w:p>
    <w:p w:rsidR="00755141" w:rsidRPr="00BE6FD6" w:rsidRDefault="00755141" w:rsidP="00D7475A">
      <w:pPr>
        <w:pStyle w:val="NormalWeb"/>
        <w:shd w:val="clear" w:color="auto" w:fill="FFFFFF"/>
        <w:spacing w:before="0" w:beforeAutospacing="0" w:after="0" w:afterAutospacing="0"/>
        <w:jc w:val="both"/>
        <w:rPr>
          <w:color w:val="222222"/>
          <w:sz w:val="20"/>
          <w:szCs w:val="20"/>
        </w:rPr>
      </w:pPr>
      <w:r w:rsidRPr="00BE6FD6">
        <w:rPr>
          <w:color w:val="222222"/>
          <w:sz w:val="20"/>
          <w:szCs w:val="20"/>
        </w:rPr>
        <w:t>Los casinos y casas de apuesta online, por el contrario, han podido beneficiarse de este confinamiento en masa, ya que, con más tiempo dentro de casa, los jugadores han aprovechado su tiempo de ocio para apostar desde la comodidad de su sofá. En un futuro cercano sin Covid-19, la industria tendrá más oportunidades para florecer.</w:t>
      </w:r>
    </w:p>
    <w:p w:rsidR="00D0096E" w:rsidRDefault="00D0096E" w:rsidP="00D7475A">
      <w:pPr>
        <w:jc w:val="both"/>
      </w:pPr>
    </w:p>
    <w:p w:rsidR="00B44872" w:rsidRDefault="00B44872" w:rsidP="00D7475A">
      <w:pPr>
        <w:jc w:val="both"/>
      </w:pPr>
    </w:p>
    <w:p w:rsidR="00BE6FD6" w:rsidRDefault="00BE6FD6" w:rsidP="00D7475A">
      <w:pPr>
        <w:jc w:val="both"/>
      </w:pPr>
    </w:p>
    <w:p w:rsidR="00BE6FD6" w:rsidRDefault="00BE6FD6" w:rsidP="00D7475A">
      <w:pPr>
        <w:jc w:val="both"/>
      </w:pPr>
    </w:p>
    <w:p w:rsidR="00B44872" w:rsidRDefault="00B44872" w:rsidP="00D7475A">
      <w:pPr>
        <w:pStyle w:val="Ttulo1"/>
        <w:jc w:val="both"/>
      </w:pPr>
      <w:r>
        <w:lastRenderedPageBreak/>
        <w:t>Mercado y clientes potenciales</w:t>
      </w:r>
    </w:p>
    <w:p w:rsidR="00B44872" w:rsidRDefault="00B44872" w:rsidP="00D7475A">
      <w:pPr>
        <w:jc w:val="both"/>
      </w:pPr>
    </w:p>
    <w:p w:rsidR="00B44872" w:rsidRPr="00F8721D" w:rsidRDefault="00B44872" w:rsidP="00D7475A">
      <w:pPr>
        <w:pStyle w:val="Ttulo4"/>
        <w:jc w:val="both"/>
      </w:pPr>
      <w:r>
        <w:t>Estadísticas generales</w:t>
      </w:r>
    </w:p>
    <w:p w:rsidR="00B44872" w:rsidRPr="00FF5317" w:rsidRDefault="00B44872" w:rsidP="00D7475A">
      <w:pPr>
        <w:pStyle w:val="NormalWeb"/>
        <w:shd w:val="clear" w:color="auto" w:fill="FFFFFF"/>
        <w:spacing w:before="0" w:beforeAutospacing="0" w:after="125" w:afterAutospacing="0"/>
        <w:jc w:val="both"/>
        <w:rPr>
          <w:color w:val="333333"/>
          <w:sz w:val="20"/>
          <w:szCs w:val="20"/>
        </w:rPr>
      </w:pPr>
      <w:r w:rsidRPr="00FF5317">
        <w:rPr>
          <w:rStyle w:val="plantilla-componente-parrafo"/>
          <w:rFonts w:eastAsiaTheme="majorEastAsia"/>
          <w:color w:val="333333"/>
          <w:sz w:val="20"/>
          <w:szCs w:val="20"/>
        </w:rPr>
        <w:t>El 83,46% de las personas que juegan o apuestan 'online' en España tiene una edad comprendida entre 18 y 45 años, según el informe 'Análisis del perfil del jugador 'online' 2018, elaborado por la Dirección General de Ordenación del Juego (DGOJ).</w:t>
      </w:r>
    </w:p>
    <w:p w:rsidR="00B44872" w:rsidRDefault="00B44872" w:rsidP="00D7475A">
      <w:pPr>
        <w:pStyle w:val="NormalWeb"/>
        <w:shd w:val="clear" w:color="auto" w:fill="FFFFFF"/>
        <w:spacing w:before="0" w:beforeAutospacing="0" w:after="125" w:afterAutospacing="0"/>
        <w:jc w:val="both"/>
        <w:rPr>
          <w:rStyle w:val="plantilla-componente-parrafo"/>
          <w:rFonts w:eastAsiaTheme="majorEastAsia"/>
          <w:color w:val="333333"/>
          <w:sz w:val="20"/>
          <w:szCs w:val="20"/>
        </w:rPr>
      </w:pPr>
      <w:r w:rsidRPr="00FF5317">
        <w:rPr>
          <w:rStyle w:val="plantilla-componente-parrafo"/>
          <w:rFonts w:eastAsiaTheme="majorEastAsia"/>
          <w:color w:val="333333"/>
          <w:sz w:val="20"/>
          <w:szCs w:val="20"/>
        </w:rPr>
        <w:t>El estudio muestra que los jugadores que representan un mayor volumen son aquellos que tienen entre 26 y 35 años, al sumar el 34,41% del total de usuarios. No obstante, los que más han aumentado con respecto al año anterior son los que tienen una edad comprendida entre los 18 y los 25 años (+12,57% respecto a 2017), frente a los mayores de 65 años que han disminuido un 25,74% hasta situarse en 25.195 jugadores.</w:t>
      </w:r>
    </w:p>
    <w:p w:rsidR="00B44872" w:rsidRPr="00FF5317" w:rsidRDefault="00B44872" w:rsidP="00D7475A">
      <w:pPr>
        <w:pStyle w:val="NormalWeb"/>
        <w:shd w:val="clear" w:color="auto" w:fill="FFFFFF"/>
        <w:spacing w:before="0" w:beforeAutospacing="0" w:after="125" w:afterAutospacing="0"/>
        <w:jc w:val="both"/>
        <w:rPr>
          <w:rStyle w:val="plantilla-componente-parrafo"/>
          <w:rFonts w:eastAsiaTheme="majorEastAsia"/>
          <w:color w:val="333333"/>
          <w:sz w:val="20"/>
          <w:szCs w:val="20"/>
        </w:rPr>
      </w:pPr>
    </w:p>
    <w:p w:rsidR="004B77BA" w:rsidRDefault="00B44872" w:rsidP="00D7475A">
      <w:pPr>
        <w:jc w:val="both"/>
      </w:pPr>
      <w:r>
        <w:rPr>
          <w:rFonts w:ascii="Source Sans Pro" w:hAnsi="Source Sans Pro"/>
          <w:noProof/>
          <w:color w:val="333333"/>
          <w:sz w:val="20"/>
          <w:szCs w:val="20"/>
          <w:lang w:eastAsia="es-ES"/>
        </w:rPr>
        <w:drawing>
          <wp:inline distT="0" distB="0" distL="0" distR="0">
            <wp:extent cx="4481544" cy="217015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4540619" cy="2198761"/>
                    </a:xfrm>
                    <a:prstGeom prst="rect">
                      <a:avLst/>
                    </a:prstGeom>
                    <a:noFill/>
                    <a:ln w="9525">
                      <a:noFill/>
                      <a:miter lim="800000"/>
                      <a:headEnd/>
                      <a:tailEnd/>
                    </a:ln>
                  </pic:spPr>
                </pic:pic>
              </a:graphicData>
            </a:graphic>
          </wp:inline>
        </w:drawing>
      </w:r>
    </w:p>
    <w:p w:rsidR="00714637" w:rsidRPr="00F8721D" w:rsidRDefault="00714637" w:rsidP="00D7475A">
      <w:pPr>
        <w:pStyle w:val="Ttulo4"/>
        <w:jc w:val="both"/>
        <w:rPr>
          <w:rFonts w:ascii="Times New Roman" w:hAnsi="Times New Roman" w:cs="Times New Roman"/>
          <w:sz w:val="24"/>
          <w:szCs w:val="24"/>
        </w:rPr>
      </w:pPr>
      <w:r w:rsidRPr="00DD0D67">
        <w:rPr>
          <w:rFonts w:ascii="Times New Roman" w:hAnsi="Times New Roman" w:cs="Times New Roman"/>
          <w:sz w:val="24"/>
          <w:szCs w:val="24"/>
        </w:rPr>
        <w:t>Demanda de los clientes</w:t>
      </w:r>
    </w:p>
    <w:p w:rsidR="00714637" w:rsidRPr="00FF5317" w:rsidRDefault="00714637" w:rsidP="00D7475A">
      <w:pPr>
        <w:jc w:val="both"/>
        <w:rPr>
          <w:rFonts w:ascii="Times New Roman" w:hAnsi="Times New Roman" w:cs="Times New Roman"/>
          <w:color w:val="333333"/>
          <w:sz w:val="20"/>
          <w:szCs w:val="20"/>
          <w:shd w:val="clear" w:color="auto" w:fill="FFFFFF"/>
        </w:rPr>
      </w:pPr>
      <w:r w:rsidRPr="00FF5317">
        <w:rPr>
          <w:rFonts w:ascii="Times New Roman" w:hAnsi="Times New Roman" w:cs="Times New Roman"/>
          <w:color w:val="333333"/>
          <w:sz w:val="20"/>
          <w:szCs w:val="20"/>
          <w:shd w:val="clear" w:color="auto" w:fill="FFFFFF"/>
        </w:rPr>
        <w:t>El sector del juego online tuvo unos márgenes de juego de 749 millones de euros en 2019, lo que supone un aumento de un 7,15% respecto a 2018, según el último informe sobre el sector del juego online de la Dirección General de Ordenación del Juego.</w:t>
      </w:r>
    </w:p>
    <w:p w:rsidR="00714637" w:rsidRDefault="00714637" w:rsidP="00D7475A">
      <w:pPr>
        <w:jc w:val="both"/>
      </w:pPr>
      <w:r>
        <w:rPr>
          <w:noProof/>
          <w:lang w:eastAsia="es-ES"/>
        </w:rPr>
        <w:drawing>
          <wp:inline distT="0" distB="0" distL="0" distR="0">
            <wp:extent cx="5400040" cy="3257339"/>
            <wp:effectExtent l="19050" t="0" r="0" b="0"/>
            <wp:docPr id="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5400040" cy="3257339"/>
                    </a:xfrm>
                    <a:prstGeom prst="rect">
                      <a:avLst/>
                    </a:prstGeom>
                    <a:noFill/>
                    <a:ln w="9525">
                      <a:noFill/>
                      <a:miter lim="800000"/>
                      <a:headEnd/>
                      <a:tailEnd/>
                    </a:ln>
                  </pic:spPr>
                </pic:pic>
              </a:graphicData>
            </a:graphic>
          </wp:inline>
        </w:drawing>
      </w:r>
    </w:p>
    <w:p w:rsidR="00714637" w:rsidRPr="00FF5317" w:rsidRDefault="00714637" w:rsidP="00D7475A">
      <w:pPr>
        <w:jc w:val="both"/>
        <w:rPr>
          <w:rFonts w:ascii="Times New Roman" w:hAnsi="Times New Roman" w:cs="Times New Roman"/>
          <w:color w:val="333333"/>
          <w:sz w:val="20"/>
          <w:szCs w:val="20"/>
          <w:shd w:val="clear" w:color="auto" w:fill="FFFFFF"/>
        </w:rPr>
      </w:pPr>
      <w:r w:rsidRPr="00FF5317">
        <w:rPr>
          <w:rFonts w:ascii="Times New Roman" w:hAnsi="Times New Roman" w:cs="Times New Roman"/>
          <w:color w:val="333333"/>
          <w:sz w:val="20"/>
          <w:szCs w:val="20"/>
          <w:shd w:val="clear" w:color="auto" w:fill="FFFFFF"/>
        </w:rPr>
        <w:t>.</w:t>
      </w:r>
    </w:p>
    <w:p w:rsidR="00714637" w:rsidRDefault="00714637" w:rsidP="00D7475A">
      <w:pPr>
        <w:jc w:val="both"/>
      </w:pPr>
    </w:p>
    <w:p w:rsidR="00714637" w:rsidRPr="00FF5317" w:rsidRDefault="00714637" w:rsidP="00D7475A">
      <w:pPr>
        <w:jc w:val="both"/>
        <w:rPr>
          <w:rFonts w:ascii="Times New Roman" w:hAnsi="Times New Roman" w:cs="Times New Roman"/>
          <w:color w:val="333333"/>
          <w:sz w:val="20"/>
          <w:szCs w:val="20"/>
          <w:shd w:val="clear" w:color="auto" w:fill="FFFFFF"/>
        </w:rPr>
      </w:pPr>
      <w:r w:rsidRPr="00FF5317">
        <w:rPr>
          <w:rFonts w:ascii="Times New Roman" w:hAnsi="Times New Roman" w:cs="Times New Roman"/>
          <w:color w:val="333333"/>
          <w:sz w:val="20"/>
          <w:szCs w:val="20"/>
          <w:shd w:val="clear" w:color="auto" w:fill="FFFFFF"/>
        </w:rPr>
        <w:t>Por su parte, el gasto en publicidad y marketing del sector siguió creciendo en 2019 un 6,5% un 42,8% respectivamente.</w:t>
      </w:r>
    </w:p>
    <w:p w:rsidR="00714637" w:rsidRDefault="00714637" w:rsidP="00D7475A">
      <w:pPr>
        <w:jc w:val="both"/>
      </w:pPr>
      <w:r>
        <w:rPr>
          <w:noProof/>
          <w:lang w:eastAsia="es-ES"/>
        </w:rPr>
        <w:drawing>
          <wp:inline distT="0" distB="0" distL="0" distR="0">
            <wp:extent cx="5400040" cy="3242970"/>
            <wp:effectExtent l="19050" t="0" r="0" b="0"/>
            <wp:docPr id="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srcRect/>
                    <a:stretch>
                      <a:fillRect/>
                    </a:stretch>
                  </pic:blipFill>
                  <pic:spPr bwMode="auto">
                    <a:xfrm>
                      <a:off x="0" y="0"/>
                      <a:ext cx="5400040" cy="3242970"/>
                    </a:xfrm>
                    <a:prstGeom prst="rect">
                      <a:avLst/>
                    </a:prstGeom>
                    <a:noFill/>
                    <a:ln w="9525">
                      <a:noFill/>
                      <a:miter lim="800000"/>
                      <a:headEnd/>
                      <a:tailEnd/>
                    </a:ln>
                  </pic:spPr>
                </pic:pic>
              </a:graphicData>
            </a:graphic>
          </wp:inline>
        </w:drawing>
      </w:r>
      <w:bookmarkStart w:id="6" w:name="_Toc57298291"/>
      <w:bookmarkStart w:id="7" w:name="_Toc57298328"/>
    </w:p>
    <w:bookmarkEnd w:id="6"/>
    <w:bookmarkEnd w:id="7"/>
    <w:p w:rsidR="00714637" w:rsidRDefault="00714637" w:rsidP="00D7475A">
      <w:pPr>
        <w:pStyle w:val="NormalWeb"/>
        <w:shd w:val="clear" w:color="auto" w:fill="FFFFFF"/>
        <w:spacing w:before="0" w:beforeAutospacing="0" w:after="125" w:afterAutospacing="0"/>
        <w:jc w:val="both"/>
        <w:rPr>
          <w:rFonts w:ascii="Source Sans Pro" w:hAnsi="Source Sans Pro"/>
          <w:color w:val="333333"/>
          <w:sz w:val="20"/>
          <w:szCs w:val="20"/>
        </w:rPr>
      </w:pPr>
    </w:p>
    <w:p w:rsidR="00714637" w:rsidRPr="00F8721D" w:rsidRDefault="00714637" w:rsidP="00D7475A">
      <w:pPr>
        <w:pStyle w:val="Ttulo4"/>
        <w:jc w:val="both"/>
      </w:pPr>
      <w:r>
        <w:t>Tendencias actuales</w:t>
      </w:r>
    </w:p>
    <w:p w:rsidR="00714637" w:rsidRPr="00FF5317" w:rsidRDefault="00714637" w:rsidP="00D7475A">
      <w:pPr>
        <w:jc w:val="both"/>
        <w:rPr>
          <w:rStyle w:val="plantilla-componente-parrafo"/>
          <w:rFonts w:ascii="Times New Roman" w:hAnsi="Times New Roman" w:cs="Times New Roman"/>
          <w:color w:val="333333"/>
          <w:sz w:val="20"/>
          <w:szCs w:val="20"/>
          <w:shd w:val="clear" w:color="auto" w:fill="FFFFFF"/>
        </w:rPr>
      </w:pPr>
      <w:r w:rsidRPr="00FF5317">
        <w:rPr>
          <w:rStyle w:val="plantilla-componente-parrafo"/>
          <w:rFonts w:ascii="Times New Roman" w:hAnsi="Times New Roman" w:cs="Times New Roman"/>
          <w:color w:val="333333"/>
          <w:sz w:val="20"/>
          <w:szCs w:val="20"/>
          <w:shd w:val="clear" w:color="auto" w:fill="FFFFFF"/>
        </w:rPr>
        <w:t>El ascenso periódico en el que está inmerso el juego online en España se identifica también en las cantidades que apuestan los jugadores que en </w:t>
      </w:r>
      <w:r w:rsidRPr="00FF5317">
        <w:rPr>
          <w:rFonts w:ascii="Times New Roman" w:hAnsi="Times New Roman" w:cs="Times New Roman"/>
          <w:color w:val="333333"/>
          <w:sz w:val="20"/>
          <w:szCs w:val="20"/>
          <w:shd w:val="clear" w:color="auto" w:fill="FFFFFF"/>
        </w:rPr>
        <w:t>septiembre de 2019</w:t>
      </w:r>
      <w:r w:rsidRPr="00FF5317">
        <w:rPr>
          <w:rStyle w:val="plantilla-componente-parrafo"/>
          <w:rFonts w:ascii="Times New Roman" w:hAnsi="Times New Roman" w:cs="Times New Roman"/>
          <w:color w:val="333333"/>
          <w:sz w:val="20"/>
          <w:szCs w:val="20"/>
          <w:shd w:val="clear" w:color="auto" w:fill="FFFFFF"/>
        </w:rPr>
        <w:t> alcanzaron la cifra de </w:t>
      </w:r>
      <w:r w:rsidRPr="00FF5317">
        <w:rPr>
          <w:rFonts w:ascii="Times New Roman" w:hAnsi="Times New Roman" w:cs="Times New Roman"/>
          <w:color w:val="333333"/>
          <w:sz w:val="20"/>
          <w:szCs w:val="20"/>
          <w:shd w:val="clear" w:color="auto" w:fill="FFFFFF"/>
        </w:rPr>
        <w:t>1.612,03</w:t>
      </w:r>
      <w:r w:rsidRPr="00FF5317">
        <w:rPr>
          <w:rStyle w:val="Textoennegrita"/>
          <w:rFonts w:ascii="Times New Roman" w:hAnsi="Times New Roman" w:cs="Times New Roman"/>
          <w:color w:val="333333"/>
          <w:sz w:val="20"/>
          <w:szCs w:val="20"/>
          <w:shd w:val="clear" w:color="auto" w:fill="FFFFFF"/>
        </w:rPr>
        <w:t> millones de euros en juegos online. </w:t>
      </w:r>
      <w:r w:rsidRPr="00FF5317">
        <w:rPr>
          <w:rStyle w:val="plantilla-componente-parrafo"/>
          <w:rFonts w:ascii="Times New Roman" w:hAnsi="Times New Roman" w:cs="Times New Roman"/>
          <w:color w:val="333333"/>
          <w:sz w:val="20"/>
          <w:szCs w:val="20"/>
          <w:shd w:val="clear" w:color="auto" w:fill="FFFFFF"/>
        </w:rPr>
        <w:t>Esta cantidad supone una variación con respecto al mismo mes del año pasado de 112,37 millones de euros. Según la Dirección General de Ordenación del Juego, en lo que va de año el gasto acumulado alcanza los 13.829,31 millones de euros.</w:t>
      </w:r>
    </w:p>
    <w:p w:rsidR="00D7475A" w:rsidRDefault="00D7475A" w:rsidP="00D7475A">
      <w:pPr>
        <w:jc w:val="both"/>
        <w:rPr>
          <w:noProof/>
          <w:lang w:eastAsia="es-ES"/>
        </w:rPr>
      </w:pPr>
    </w:p>
    <w:p w:rsidR="00714637" w:rsidRDefault="00714637" w:rsidP="00D7475A">
      <w:pPr>
        <w:jc w:val="both"/>
      </w:pPr>
      <w:r>
        <w:rPr>
          <w:noProof/>
          <w:lang w:eastAsia="es-ES"/>
        </w:rPr>
        <w:drawing>
          <wp:inline distT="0" distB="0" distL="0" distR="0">
            <wp:extent cx="4674769" cy="2933700"/>
            <wp:effectExtent l="19050" t="0" r="0" b="0"/>
            <wp:docPr id="1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srcRect t="5337" r="5291"/>
                    <a:stretch>
                      <a:fillRect/>
                    </a:stretch>
                  </pic:blipFill>
                  <pic:spPr bwMode="auto">
                    <a:xfrm>
                      <a:off x="0" y="0"/>
                      <a:ext cx="4674769" cy="2933700"/>
                    </a:xfrm>
                    <a:prstGeom prst="rect">
                      <a:avLst/>
                    </a:prstGeom>
                    <a:noFill/>
                    <a:ln w="9525">
                      <a:noFill/>
                      <a:miter lim="800000"/>
                      <a:headEnd/>
                      <a:tailEnd/>
                    </a:ln>
                  </pic:spPr>
                </pic:pic>
              </a:graphicData>
            </a:graphic>
          </wp:inline>
        </w:drawing>
      </w:r>
    </w:p>
    <w:p w:rsidR="00714637" w:rsidRDefault="00714637" w:rsidP="00D7475A">
      <w:pPr>
        <w:jc w:val="both"/>
      </w:pPr>
    </w:p>
    <w:p w:rsidR="00714637" w:rsidRPr="00F8721D" w:rsidRDefault="00714637" w:rsidP="00D7475A">
      <w:pPr>
        <w:pStyle w:val="Ttulo4"/>
        <w:jc w:val="both"/>
      </w:pPr>
      <w:r>
        <w:t>Número de jugadores</w:t>
      </w:r>
    </w:p>
    <w:p w:rsidR="00714637" w:rsidRPr="00FF5317" w:rsidRDefault="00714637" w:rsidP="00D7475A">
      <w:pPr>
        <w:jc w:val="both"/>
        <w:rPr>
          <w:rStyle w:val="plantilla-componente-parrafo"/>
          <w:rFonts w:ascii="Times New Roman" w:hAnsi="Times New Roman" w:cs="Times New Roman"/>
          <w:color w:val="333333"/>
          <w:sz w:val="20"/>
          <w:szCs w:val="20"/>
          <w:shd w:val="clear" w:color="auto" w:fill="FFFFFF"/>
        </w:rPr>
      </w:pPr>
      <w:r w:rsidRPr="00FF5317">
        <w:rPr>
          <w:rStyle w:val="plantilla-componente-parrafo"/>
          <w:rFonts w:ascii="Times New Roman" w:hAnsi="Times New Roman" w:cs="Times New Roman"/>
          <w:color w:val="333333"/>
          <w:sz w:val="20"/>
          <w:szCs w:val="20"/>
          <w:shd w:val="clear" w:color="auto" w:fill="FFFFFF"/>
        </w:rPr>
        <w:t>Otro indicador de la subida de usuarios de juego online se observa en la cantidad de jugadores activos que hay en España y que alcanzaron su cifra más alta en </w:t>
      </w:r>
      <w:r w:rsidRPr="00FF5317">
        <w:rPr>
          <w:rFonts w:ascii="Times New Roman" w:hAnsi="Times New Roman" w:cs="Times New Roman"/>
          <w:color w:val="333333"/>
          <w:sz w:val="20"/>
          <w:szCs w:val="20"/>
          <w:shd w:val="clear" w:color="auto" w:fill="FFFFFF"/>
        </w:rPr>
        <w:t>septiembre de 2019.</w:t>
      </w:r>
      <w:r w:rsidRPr="00FF5317">
        <w:rPr>
          <w:rStyle w:val="plantilla-componente-parrafo"/>
          <w:rFonts w:ascii="Times New Roman" w:hAnsi="Times New Roman" w:cs="Times New Roman"/>
          <w:color w:val="333333"/>
          <w:sz w:val="20"/>
          <w:szCs w:val="20"/>
          <w:shd w:val="clear" w:color="auto" w:fill="FFFFFF"/>
        </w:rPr>
        <w:t> En total, </w:t>
      </w:r>
      <w:r w:rsidRPr="00FF5317">
        <w:rPr>
          <w:rFonts w:ascii="Times New Roman" w:hAnsi="Times New Roman" w:cs="Times New Roman"/>
          <w:color w:val="333333"/>
          <w:sz w:val="20"/>
          <w:szCs w:val="20"/>
          <w:shd w:val="clear" w:color="auto" w:fill="FFFFFF"/>
        </w:rPr>
        <w:t>937.783</w:t>
      </w:r>
      <w:r w:rsidRPr="00FF5317">
        <w:rPr>
          <w:rStyle w:val="Textoennegrita"/>
          <w:rFonts w:ascii="Times New Roman" w:hAnsi="Times New Roman" w:cs="Times New Roman"/>
          <w:color w:val="333333"/>
          <w:sz w:val="20"/>
          <w:szCs w:val="20"/>
          <w:shd w:val="clear" w:color="auto" w:fill="FFFFFF"/>
        </w:rPr>
        <w:t> jugadores activos</w:t>
      </w:r>
      <w:r w:rsidRPr="00FF5317">
        <w:rPr>
          <w:rStyle w:val="plantilla-componente-parrafo"/>
          <w:rFonts w:ascii="Times New Roman" w:hAnsi="Times New Roman" w:cs="Times New Roman"/>
          <w:color w:val="333333"/>
          <w:sz w:val="20"/>
          <w:szCs w:val="20"/>
          <w:shd w:val="clear" w:color="auto" w:fill="FFFFFF"/>
        </w:rPr>
        <w:t> que si se compara con el mismo mes del año pasado supone un incremento del </w:t>
      </w:r>
      <w:r w:rsidRPr="00FF5317">
        <w:rPr>
          <w:rFonts w:ascii="Times New Roman" w:hAnsi="Times New Roman" w:cs="Times New Roman"/>
          <w:color w:val="333333"/>
          <w:sz w:val="20"/>
          <w:szCs w:val="20"/>
          <w:shd w:val="clear" w:color="auto" w:fill="FFFFFF"/>
        </w:rPr>
        <w:t>9,16</w:t>
      </w:r>
      <w:r w:rsidRPr="00FF5317">
        <w:rPr>
          <w:rStyle w:val="plantilla-componente-parrafo"/>
          <w:rFonts w:ascii="Times New Roman" w:hAnsi="Times New Roman" w:cs="Times New Roman"/>
          <w:color w:val="333333"/>
          <w:sz w:val="20"/>
          <w:szCs w:val="20"/>
          <w:shd w:val="clear" w:color="auto" w:fill="FFFFFF"/>
        </w:rPr>
        <w:t>%.</w:t>
      </w:r>
    </w:p>
    <w:p w:rsidR="00714637" w:rsidRDefault="00714637" w:rsidP="00D7475A">
      <w:pPr>
        <w:jc w:val="both"/>
      </w:pPr>
      <w:r>
        <w:rPr>
          <w:noProof/>
          <w:lang w:eastAsia="es-ES"/>
        </w:rPr>
        <w:drawing>
          <wp:inline distT="0" distB="0" distL="0" distR="0">
            <wp:extent cx="5400040" cy="3374359"/>
            <wp:effectExtent l="19050" t="0" r="0" b="0"/>
            <wp:docPr id="1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srcRect/>
                    <a:stretch>
                      <a:fillRect/>
                    </a:stretch>
                  </pic:blipFill>
                  <pic:spPr bwMode="auto">
                    <a:xfrm>
                      <a:off x="0" y="0"/>
                      <a:ext cx="5400040" cy="3374359"/>
                    </a:xfrm>
                    <a:prstGeom prst="rect">
                      <a:avLst/>
                    </a:prstGeom>
                    <a:noFill/>
                    <a:ln w="9525">
                      <a:noFill/>
                      <a:miter lim="800000"/>
                      <a:headEnd/>
                      <a:tailEnd/>
                    </a:ln>
                  </pic:spPr>
                </pic:pic>
              </a:graphicData>
            </a:graphic>
          </wp:inline>
        </w:drawing>
      </w:r>
    </w:p>
    <w:p w:rsidR="00714637" w:rsidRDefault="00714637" w:rsidP="00D7475A">
      <w:pPr>
        <w:jc w:val="both"/>
      </w:pPr>
    </w:p>
    <w:p w:rsidR="00714637" w:rsidRDefault="00714637" w:rsidP="00D7475A">
      <w:pPr>
        <w:jc w:val="both"/>
        <w:rPr>
          <w:rStyle w:val="plantilla-componente-parrafo"/>
          <w:rFonts w:ascii="Times New Roman" w:hAnsi="Times New Roman" w:cs="Times New Roman"/>
          <w:color w:val="333333"/>
          <w:sz w:val="20"/>
          <w:szCs w:val="20"/>
          <w:shd w:val="clear" w:color="auto" w:fill="FFFFFF"/>
        </w:rPr>
      </w:pPr>
      <w:r w:rsidRPr="00714637">
        <w:rPr>
          <w:rStyle w:val="plantilla-componente-parrafo"/>
          <w:rFonts w:ascii="Times New Roman" w:hAnsi="Times New Roman" w:cs="Times New Roman"/>
          <w:color w:val="333333"/>
          <w:sz w:val="20"/>
          <w:szCs w:val="20"/>
          <w:shd w:val="clear" w:color="auto" w:fill="FFFFFF"/>
        </w:rPr>
        <w:t>Como</w:t>
      </w:r>
      <w:r>
        <w:rPr>
          <w:rStyle w:val="plantilla-componente-parrafo"/>
          <w:rFonts w:ascii="Times New Roman" w:hAnsi="Times New Roman" w:cs="Times New Roman"/>
          <w:color w:val="333333"/>
          <w:sz w:val="20"/>
          <w:szCs w:val="20"/>
          <w:shd w:val="clear" w:color="auto" w:fill="FFFFFF"/>
        </w:rPr>
        <w:t xml:space="preserve"> se puede comprobar, hay cientos de miles de jugadores activos anualmente en España, los cuales muchas veces apuestan sin control ni responsabilidad. A todos ellos está dirigida esta aplicación, especialmente a los jóvenes que </w:t>
      </w:r>
      <w:r w:rsidR="00BE6FD6">
        <w:rPr>
          <w:rStyle w:val="plantilla-componente-parrafo"/>
          <w:rFonts w:ascii="Times New Roman" w:hAnsi="Times New Roman" w:cs="Times New Roman"/>
          <w:color w:val="333333"/>
          <w:sz w:val="20"/>
          <w:szCs w:val="20"/>
          <w:shd w:val="clear" w:color="auto" w:fill="FFFFFF"/>
        </w:rPr>
        <w:t>no cuentan con una holgada independencia económica y pueden estar apostando su futuro de manera anárquica e incierta.</w:t>
      </w:r>
    </w:p>
    <w:p w:rsidR="00BE6FD6" w:rsidRDefault="00BE6FD6" w:rsidP="00D7475A">
      <w:pPr>
        <w:jc w:val="both"/>
        <w:rPr>
          <w:rStyle w:val="plantilla-componente-parrafo"/>
          <w:rFonts w:ascii="Times New Roman" w:hAnsi="Times New Roman" w:cs="Times New Roman"/>
          <w:color w:val="333333"/>
          <w:sz w:val="20"/>
          <w:szCs w:val="20"/>
          <w:shd w:val="clear" w:color="auto" w:fill="FFFFFF"/>
        </w:rPr>
      </w:pPr>
    </w:p>
    <w:p w:rsidR="00BE6FD6" w:rsidRPr="00FF5317" w:rsidRDefault="00BE6FD6" w:rsidP="00D7475A">
      <w:pPr>
        <w:jc w:val="both"/>
      </w:pPr>
    </w:p>
    <w:p w:rsidR="00714637" w:rsidRDefault="00D7475A" w:rsidP="00D7475A">
      <w:pPr>
        <w:pStyle w:val="Ttulo1"/>
      </w:pPr>
      <w:r>
        <w:t>Análisis de la competencia</w:t>
      </w:r>
    </w:p>
    <w:p w:rsidR="00FD19BF" w:rsidRPr="00FD19BF" w:rsidRDefault="00FD19BF" w:rsidP="00FD19BF"/>
    <w:p w:rsidR="00D7475A" w:rsidRDefault="00FD19BF" w:rsidP="00FD19BF">
      <w:pPr>
        <w:jc w:val="both"/>
        <w:rPr>
          <w:rStyle w:val="plantilla-componente-parrafo"/>
          <w:rFonts w:ascii="Times New Roman" w:hAnsi="Times New Roman" w:cs="Times New Roman"/>
          <w:color w:val="333333"/>
          <w:sz w:val="20"/>
          <w:szCs w:val="20"/>
          <w:shd w:val="clear" w:color="auto" w:fill="FFFFFF"/>
        </w:rPr>
      </w:pPr>
      <w:r w:rsidRPr="00FD19BF">
        <w:rPr>
          <w:rStyle w:val="plantilla-componente-parrafo"/>
          <w:rFonts w:ascii="Times New Roman" w:hAnsi="Times New Roman" w:cs="Times New Roman"/>
          <w:color w:val="333333"/>
          <w:sz w:val="20"/>
          <w:szCs w:val="20"/>
          <w:shd w:val="clear" w:color="auto" w:fill="FFFFFF"/>
        </w:rPr>
        <w:t xml:space="preserve">El impacto de la evolución tecnológica se encuentra presente en todos los sectores de la vida. Para efectuar compras en línea, pagos o incluso para fondear la cuenta de apuestas deportivas, hoy en día existen diversos medios de pago, tales como las </w:t>
      </w:r>
      <w:r>
        <w:rPr>
          <w:rStyle w:val="plantilla-componente-parrafo"/>
          <w:rFonts w:ascii="Times New Roman" w:hAnsi="Times New Roman" w:cs="Times New Roman"/>
          <w:color w:val="333333"/>
          <w:sz w:val="20"/>
          <w:szCs w:val="20"/>
          <w:shd w:val="clear" w:color="auto" w:fill="FFFFFF"/>
        </w:rPr>
        <w:t>carteras</w:t>
      </w:r>
      <w:r w:rsidRPr="00FD19BF">
        <w:rPr>
          <w:rStyle w:val="plantilla-componente-parrafo"/>
          <w:rFonts w:ascii="Times New Roman" w:hAnsi="Times New Roman" w:cs="Times New Roman"/>
          <w:color w:val="333333"/>
          <w:sz w:val="20"/>
          <w:szCs w:val="20"/>
          <w:shd w:val="clear" w:color="auto" w:fill="FFFFFF"/>
        </w:rPr>
        <w:t xml:space="preserve"> electrónicas. Te permiten realizar varias transacciones financieras sin tener que recurrir a los servicios de un banco. En el área de las apuestas deportivas, sobre todo, para acceder a los servicios de las casas de apuestas extranjeras, los monederos electrónicos tienen una gran importancia</w:t>
      </w:r>
      <w:r>
        <w:rPr>
          <w:rStyle w:val="plantilla-componente-parrafo"/>
          <w:rFonts w:ascii="Times New Roman" w:hAnsi="Times New Roman" w:cs="Times New Roman"/>
          <w:color w:val="333333"/>
          <w:sz w:val="20"/>
          <w:szCs w:val="20"/>
          <w:shd w:val="clear" w:color="auto" w:fill="FFFFFF"/>
        </w:rPr>
        <w:t>.</w:t>
      </w:r>
    </w:p>
    <w:p w:rsidR="00FD19BF" w:rsidRDefault="00FD19BF" w:rsidP="00FD19BF">
      <w:pPr>
        <w:jc w:val="both"/>
        <w:rPr>
          <w:rFonts w:ascii="Times New Roman" w:hAnsi="Times New Roman" w:cs="Times New Roman"/>
          <w:color w:val="333333"/>
          <w:sz w:val="20"/>
          <w:szCs w:val="20"/>
          <w:shd w:val="clear" w:color="auto" w:fill="FFFFFF"/>
        </w:rPr>
      </w:pPr>
      <w:r w:rsidRPr="00FD19BF">
        <w:rPr>
          <w:rFonts w:ascii="Times New Roman" w:hAnsi="Times New Roman" w:cs="Times New Roman"/>
          <w:color w:val="333333"/>
          <w:sz w:val="20"/>
          <w:szCs w:val="20"/>
          <w:shd w:val="clear" w:color="auto" w:fill="FFFFFF"/>
        </w:rPr>
        <w:t xml:space="preserve">A diferencia de los métodos bancarios, se puede acceder a una </w:t>
      </w:r>
      <w:r>
        <w:rPr>
          <w:rFonts w:ascii="Times New Roman" w:hAnsi="Times New Roman" w:cs="Times New Roman"/>
          <w:color w:val="333333"/>
          <w:sz w:val="20"/>
          <w:szCs w:val="20"/>
          <w:shd w:val="clear" w:color="auto" w:fill="FFFFFF"/>
        </w:rPr>
        <w:t>cartera</w:t>
      </w:r>
      <w:r w:rsidRPr="00FD19BF">
        <w:rPr>
          <w:rFonts w:ascii="Times New Roman" w:hAnsi="Times New Roman" w:cs="Times New Roman"/>
          <w:color w:val="333333"/>
          <w:sz w:val="20"/>
          <w:szCs w:val="20"/>
          <w:shd w:val="clear" w:color="auto" w:fill="FFFFFF"/>
        </w:rPr>
        <w:t xml:space="preserve"> electrónica en cualquier momento con solo utilizar una conexión a Internet y un dispositivo electrónico inteligente </w:t>
      </w:r>
      <w:r>
        <w:rPr>
          <w:rFonts w:ascii="Times New Roman" w:hAnsi="Times New Roman" w:cs="Times New Roman"/>
          <w:color w:val="333333"/>
          <w:sz w:val="20"/>
          <w:szCs w:val="20"/>
          <w:shd w:val="clear" w:color="auto" w:fill="FFFFFF"/>
        </w:rPr>
        <w:t>(ordenador, Smartphone, tablet…).</w:t>
      </w:r>
    </w:p>
    <w:p w:rsidR="00D7475A" w:rsidRDefault="00910E40" w:rsidP="00F632D9">
      <w:pPr>
        <w:jc w:val="both"/>
        <w:rPr>
          <w:rStyle w:val="plantilla-componente-parrafo"/>
          <w:rFonts w:ascii="Times New Roman" w:hAnsi="Times New Roman" w:cs="Times New Roman"/>
          <w:color w:val="333333"/>
          <w:sz w:val="20"/>
          <w:szCs w:val="20"/>
          <w:shd w:val="clear" w:color="auto" w:fill="FFFFFF"/>
        </w:rPr>
      </w:pPr>
      <w:r w:rsidRPr="00FD19BF">
        <w:rPr>
          <w:rFonts w:ascii="Times New Roman" w:hAnsi="Times New Roman" w:cs="Times New Roman"/>
          <w:color w:val="333333"/>
          <w:sz w:val="20"/>
          <w:szCs w:val="20"/>
          <w:shd w:val="clear" w:color="auto" w:fill="FFFFFF"/>
        </w:rPr>
        <w:lastRenderedPageBreak/>
        <w:t>Hay que señalar que existe un gran número de carteras electrónicas que puedes elegir</w:t>
      </w:r>
      <w:r>
        <w:rPr>
          <w:rFonts w:ascii="Times New Roman" w:hAnsi="Times New Roman" w:cs="Times New Roman"/>
          <w:color w:val="333333"/>
          <w:sz w:val="20"/>
          <w:szCs w:val="20"/>
          <w:shd w:val="clear" w:color="auto" w:fill="FFFFFF"/>
        </w:rPr>
        <w:t xml:space="preserve">, </w:t>
      </w:r>
      <w:r w:rsidR="00F632D9">
        <w:rPr>
          <w:rStyle w:val="plantilla-componente-parrafo"/>
          <w:rFonts w:ascii="Times New Roman" w:hAnsi="Times New Roman" w:cs="Times New Roman"/>
          <w:color w:val="333333"/>
          <w:sz w:val="20"/>
          <w:szCs w:val="20"/>
          <w:shd w:val="clear" w:color="auto" w:fill="FFFFFF"/>
        </w:rPr>
        <w:t xml:space="preserve"> tales como: </w:t>
      </w:r>
      <w:hyperlink r:id="rId31" w:history="1">
        <w:r w:rsidR="00F632D9" w:rsidRPr="00F632D9">
          <w:rPr>
            <w:rStyle w:val="Hipervnculo"/>
            <w:rFonts w:ascii="Times New Roman" w:hAnsi="Times New Roman" w:cs="Times New Roman"/>
            <w:sz w:val="20"/>
            <w:szCs w:val="20"/>
            <w:shd w:val="clear" w:color="auto" w:fill="FFFFFF"/>
          </w:rPr>
          <w:t>Bitcoin</w:t>
        </w:r>
      </w:hyperlink>
      <w:r w:rsidR="00F632D9">
        <w:rPr>
          <w:rStyle w:val="plantilla-componente-parrafo"/>
          <w:rFonts w:ascii="Times New Roman" w:hAnsi="Times New Roman" w:cs="Times New Roman"/>
          <w:color w:val="333333"/>
          <w:sz w:val="20"/>
          <w:szCs w:val="20"/>
          <w:shd w:val="clear" w:color="auto" w:fill="FFFFFF"/>
        </w:rPr>
        <w:t xml:space="preserve">, </w:t>
      </w:r>
      <w:hyperlink r:id="rId32" w:history="1">
        <w:proofErr w:type="spellStart"/>
        <w:r w:rsidR="00F632D9" w:rsidRPr="00F632D9">
          <w:rPr>
            <w:rStyle w:val="Hipervnculo"/>
            <w:rFonts w:ascii="Times New Roman" w:hAnsi="Times New Roman" w:cs="Times New Roman"/>
            <w:sz w:val="20"/>
            <w:szCs w:val="20"/>
            <w:shd w:val="clear" w:color="auto" w:fill="FFFFFF"/>
          </w:rPr>
          <w:t>PayPal</w:t>
        </w:r>
        <w:proofErr w:type="spellEnd"/>
      </w:hyperlink>
      <w:r w:rsidR="00F632D9">
        <w:rPr>
          <w:rStyle w:val="plantilla-componente-parrafo"/>
          <w:rFonts w:ascii="Times New Roman" w:hAnsi="Times New Roman" w:cs="Times New Roman"/>
          <w:color w:val="333333"/>
          <w:sz w:val="20"/>
          <w:szCs w:val="20"/>
          <w:shd w:val="clear" w:color="auto" w:fill="FFFFFF"/>
        </w:rPr>
        <w:t xml:space="preserve">, </w:t>
      </w:r>
      <w:hyperlink r:id="rId33" w:history="1">
        <w:proofErr w:type="spellStart"/>
        <w:r w:rsidR="00F632D9" w:rsidRPr="00F632D9">
          <w:rPr>
            <w:rStyle w:val="Hipervnculo"/>
            <w:rFonts w:ascii="Times New Roman" w:hAnsi="Times New Roman" w:cs="Times New Roman"/>
            <w:sz w:val="20"/>
            <w:szCs w:val="20"/>
            <w:shd w:val="clear" w:color="auto" w:fill="FFFFFF"/>
          </w:rPr>
          <w:t>Neteller</w:t>
        </w:r>
        <w:proofErr w:type="spellEnd"/>
      </w:hyperlink>
      <w:r w:rsidR="00F632D9">
        <w:rPr>
          <w:rStyle w:val="plantilla-componente-parrafo"/>
          <w:rFonts w:ascii="Times New Roman" w:hAnsi="Times New Roman" w:cs="Times New Roman"/>
          <w:color w:val="333333"/>
          <w:sz w:val="20"/>
          <w:szCs w:val="20"/>
          <w:shd w:val="clear" w:color="auto" w:fill="FFFFFF"/>
        </w:rPr>
        <w:t>, etc.</w:t>
      </w:r>
    </w:p>
    <w:p w:rsidR="000E0C94" w:rsidRDefault="000E0C94" w:rsidP="00F632D9">
      <w:pPr>
        <w:jc w:val="both"/>
        <w:rPr>
          <w:rStyle w:val="plantilla-componente-parrafo"/>
          <w:rFonts w:ascii="Times New Roman" w:hAnsi="Times New Roman" w:cs="Times New Roman"/>
          <w:color w:val="333333"/>
          <w:sz w:val="20"/>
          <w:szCs w:val="20"/>
          <w:shd w:val="clear" w:color="auto" w:fill="FFFFFF"/>
        </w:rPr>
      </w:pPr>
      <w:r>
        <w:rPr>
          <w:noProof/>
          <w:lang w:eastAsia="es-ES"/>
        </w:rPr>
        <w:drawing>
          <wp:inline distT="0" distB="0" distL="0" distR="0">
            <wp:extent cx="3408505" cy="1704442"/>
            <wp:effectExtent l="19050" t="0" r="1445" b="0"/>
            <wp:docPr id="23" name="Imagen 7" descr="Diferentes procesadores de pago | TuDinerit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ferentes procesadores de pago | TuDinerito.com"/>
                    <pic:cNvPicPr>
                      <a:picLocks noChangeAspect="1" noChangeArrowheads="1"/>
                    </pic:cNvPicPr>
                  </pic:nvPicPr>
                  <pic:blipFill>
                    <a:blip r:embed="rId34" cstate="print"/>
                    <a:srcRect/>
                    <a:stretch>
                      <a:fillRect/>
                    </a:stretch>
                  </pic:blipFill>
                  <pic:spPr bwMode="auto">
                    <a:xfrm>
                      <a:off x="0" y="0"/>
                      <a:ext cx="3409782" cy="1705080"/>
                    </a:xfrm>
                    <a:prstGeom prst="rect">
                      <a:avLst/>
                    </a:prstGeom>
                    <a:noFill/>
                    <a:ln w="9525">
                      <a:noFill/>
                      <a:miter lim="800000"/>
                      <a:headEnd/>
                      <a:tailEnd/>
                    </a:ln>
                  </pic:spPr>
                </pic:pic>
              </a:graphicData>
            </a:graphic>
          </wp:inline>
        </w:drawing>
      </w:r>
    </w:p>
    <w:p w:rsidR="00910E40" w:rsidRPr="00910E40" w:rsidRDefault="00910E40" w:rsidP="00910E40">
      <w:pPr>
        <w:jc w:val="both"/>
        <w:rPr>
          <w:rFonts w:ascii="Times New Roman" w:hAnsi="Times New Roman" w:cs="Times New Roman"/>
          <w:b/>
          <w:color w:val="333333"/>
          <w:szCs w:val="20"/>
          <w:u w:val="single"/>
          <w:shd w:val="clear" w:color="auto" w:fill="FFFFFF"/>
        </w:rPr>
      </w:pPr>
      <w:r w:rsidRPr="00910E40">
        <w:rPr>
          <w:rFonts w:ascii="Times New Roman" w:hAnsi="Times New Roman" w:cs="Times New Roman"/>
          <w:b/>
          <w:color w:val="333333"/>
          <w:szCs w:val="20"/>
          <w:u w:val="single"/>
          <w:shd w:val="clear" w:color="auto" w:fill="FFFFFF"/>
        </w:rPr>
        <w:t>Bitcoin</w:t>
      </w:r>
    </w:p>
    <w:p w:rsidR="00910E40" w:rsidRPr="00FD19BF" w:rsidRDefault="00910E40" w:rsidP="00910E40">
      <w:pPr>
        <w:jc w:val="both"/>
        <w:rPr>
          <w:rFonts w:ascii="Times New Roman" w:hAnsi="Times New Roman" w:cs="Times New Roman"/>
          <w:color w:val="333333"/>
          <w:sz w:val="20"/>
          <w:szCs w:val="20"/>
          <w:shd w:val="clear" w:color="auto" w:fill="FFFFFF"/>
        </w:rPr>
      </w:pPr>
      <w:r>
        <w:rPr>
          <w:rFonts w:ascii="Times New Roman" w:hAnsi="Times New Roman" w:cs="Times New Roman"/>
          <w:color w:val="333333"/>
          <w:sz w:val="20"/>
          <w:szCs w:val="20"/>
          <w:shd w:val="clear" w:color="auto" w:fill="FFFFFF"/>
        </w:rPr>
        <w:t>E</w:t>
      </w:r>
      <w:r w:rsidRPr="00FD19BF">
        <w:rPr>
          <w:rFonts w:ascii="Times New Roman" w:hAnsi="Times New Roman" w:cs="Times New Roman"/>
          <w:color w:val="333333"/>
          <w:sz w:val="20"/>
          <w:szCs w:val="20"/>
          <w:shd w:val="clear" w:color="auto" w:fill="FFFFFF"/>
        </w:rPr>
        <w:t xml:space="preserve">s la más recomendada para facilitar las transacciones de los jugadores en las apuestas deportivas. El jugador, al usar sus datos personales —Nombre, Apellido, Ciudad, Domicilio y más— puede abrir una cuenta electrónica y poner sus fondos en línea. Recibe un nombre de usuario y una contraseña personal que le permitirá acceder a su cuenta virtual a cualquier hora. </w:t>
      </w:r>
    </w:p>
    <w:p w:rsidR="000E0C94" w:rsidRDefault="000E0C94" w:rsidP="00F632D9">
      <w:pPr>
        <w:jc w:val="both"/>
        <w:rPr>
          <w:rStyle w:val="plantilla-componente-parrafo"/>
          <w:rFonts w:ascii="Times New Roman" w:hAnsi="Times New Roman" w:cs="Times New Roman"/>
          <w:color w:val="333333"/>
          <w:sz w:val="20"/>
          <w:szCs w:val="20"/>
          <w:shd w:val="clear" w:color="auto" w:fill="FFFFFF"/>
        </w:rPr>
      </w:pPr>
    </w:p>
    <w:p w:rsidR="000E0C94" w:rsidRPr="000E0C94" w:rsidRDefault="000E0C94" w:rsidP="000E0C94">
      <w:pPr>
        <w:pStyle w:val="Ttulo4"/>
        <w:jc w:val="both"/>
      </w:pPr>
      <w:r>
        <w:t>V</w:t>
      </w:r>
      <w:r w:rsidRPr="000E0C94">
        <w:t>entajas</w:t>
      </w:r>
    </w:p>
    <w:p w:rsidR="00FD19BF" w:rsidRPr="00FD19BF" w:rsidRDefault="00FD19BF" w:rsidP="00FD19BF">
      <w:pPr>
        <w:jc w:val="both"/>
        <w:rPr>
          <w:rFonts w:ascii="Times New Roman" w:hAnsi="Times New Roman" w:cs="Times New Roman"/>
          <w:color w:val="333333"/>
          <w:sz w:val="20"/>
          <w:szCs w:val="20"/>
          <w:shd w:val="clear" w:color="auto" w:fill="FFFFFF"/>
        </w:rPr>
      </w:pPr>
      <w:r w:rsidRPr="00FD19BF">
        <w:rPr>
          <w:rFonts w:ascii="Times New Roman" w:hAnsi="Times New Roman" w:cs="Times New Roman"/>
          <w:color w:val="333333"/>
          <w:sz w:val="20"/>
          <w:szCs w:val="20"/>
          <w:shd w:val="clear" w:color="auto" w:fill="FFFFFF"/>
        </w:rPr>
        <w:t>Hay muchas ventajas en usar una casa de apuestas extranjera para realizar tus apuestas deportivas. La primera a resaltar es la libertad de </w:t>
      </w:r>
      <w:r w:rsidRPr="00FD19BF">
        <w:rPr>
          <w:rFonts w:ascii="Times New Roman" w:hAnsi="Times New Roman" w:cs="Times New Roman"/>
          <w:b/>
          <w:bCs/>
          <w:color w:val="333333"/>
          <w:sz w:val="20"/>
          <w:szCs w:val="20"/>
          <w:shd w:val="clear" w:color="auto" w:fill="FFFFFF"/>
        </w:rPr>
        <w:t xml:space="preserve">gestionar </w:t>
      </w:r>
      <w:r w:rsidR="000E0C94">
        <w:rPr>
          <w:rFonts w:ascii="Times New Roman" w:hAnsi="Times New Roman" w:cs="Times New Roman"/>
          <w:b/>
          <w:bCs/>
          <w:color w:val="333333"/>
          <w:sz w:val="20"/>
          <w:szCs w:val="20"/>
          <w:shd w:val="clear" w:color="auto" w:fill="FFFFFF"/>
        </w:rPr>
        <w:t>tus</w:t>
      </w:r>
      <w:r w:rsidRPr="00FD19BF">
        <w:rPr>
          <w:rFonts w:ascii="Times New Roman" w:hAnsi="Times New Roman" w:cs="Times New Roman"/>
          <w:b/>
          <w:bCs/>
          <w:color w:val="333333"/>
          <w:sz w:val="20"/>
          <w:szCs w:val="20"/>
          <w:shd w:val="clear" w:color="auto" w:fill="FFFFFF"/>
        </w:rPr>
        <w:t xml:space="preserve"> gastos</w:t>
      </w:r>
      <w:r w:rsidRPr="00FD19BF">
        <w:rPr>
          <w:rFonts w:ascii="Times New Roman" w:hAnsi="Times New Roman" w:cs="Times New Roman"/>
          <w:color w:val="333333"/>
          <w:sz w:val="20"/>
          <w:szCs w:val="20"/>
          <w:shd w:val="clear" w:color="auto" w:fill="FFFFFF"/>
        </w:rPr>
        <w:t>. Con una billetera electrónica, el usuario separa su cuenta personal de su cuenta de juegos. Este aspecto te ofrecerá discreción en tus diversas actividades de operaciones y rendimiento. Junto con esta prestación, el jugador evita las varias presiones de su banquero en sus actividades de inversión virtuales.</w:t>
      </w:r>
    </w:p>
    <w:p w:rsidR="00FD19BF" w:rsidRPr="00FD19BF" w:rsidRDefault="00FD19BF" w:rsidP="00FD19BF">
      <w:pPr>
        <w:jc w:val="both"/>
        <w:rPr>
          <w:rFonts w:ascii="Times New Roman" w:hAnsi="Times New Roman" w:cs="Times New Roman"/>
          <w:color w:val="333333"/>
          <w:sz w:val="20"/>
          <w:szCs w:val="20"/>
          <w:shd w:val="clear" w:color="auto" w:fill="FFFFFF"/>
        </w:rPr>
      </w:pPr>
      <w:r w:rsidRPr="00FD19BF">
        <w:rPr>
          <w:rFonts w:ascii="Times New Roman" w:hAnsi="Times New Roman" w:cs="Times New Roman"/>
          <w:color w:val="333333"/>
          <w:sz w:val="20"/>
          <w:szCs w:val="20"/>
          <w:shd w:val="clear" w:color="auto" w:fill="FFFFFF"/>
        </w:rPr>
        <w:t>Otra ventaja importante es la ausencia de tasas de cambio relacionadas con las distintas operaciones </w:t>
      </w:r>
      <w:r w:rsidRPr="00910E40">
        <w:rPr>
          <w:rFonts w:ascii="Times New Roman" w:hAnsi="Times New Roman" w:cs="Times New Roman"/>
          <w:iCs/>
          <w:color w:val="333333"/>
          <w:sz w:val="20"/>
          <w:szCs w:val="20"/>
          <w:shd w:val="clear" w:color="auto" w:fill="FFFFFF"/>
        </w:rPr>
        <w:t>de depósito y retiro</w:t>
      </w:r>
      <w:r w:rsidRPr="00FD19BF">
        <w:rPr>
          <w:rFonts w:ascii="Times New Roman" w:hAnsi="Times New Roman" w:cs="Times New Roman"/>
          <w:color w:val="333333"/>
          <w:sz w:val="20"/>
          <w:szCs w:val="20"/>
          <w:shd w:val="clear" w:color="auto" w:fill="FFFFFF"/>
        </w:rPr>
        <w:t> de tus diferentes cuentas. De hecho, el recargar tu cuenta con una cartera electrónica no supone los mismos procedimientos que el fondearla con un banco.</w:t>
      </w:r>
    </w:p>
    <w:p w:rsidR="00FD19BF" w:rsidRDefault="00FD19BF" w:rsidP="00FD19BF">
      <w:pPr>
        <w:jc w:val="both"/>
        <w:rPr>
          <w:rFonts w:ascii="Times New Roman" w:hAnsi="Times New Roman" w:cs="Times New Roman"/>
          <w:color w:val="333333"/>
          <w:sz w:val="20"/>
          <w:szCs w:val="20"/>
          <w:shd w:val="clear" w:color="auto" w:fill="FFFFFF"/>
        </w:rPr>
      </w:pPr>
      <w:r w:rsidRPr="00FD19BF">
        <w:rPr>
          <w:rFonts w:ascii="Times New Roman" w:hAnsi="Times New Roman" w:cs="Times New Roman"/>
          <w:color w:val="333333"/>
          <w:sz w:val="20"/>
          <w:szCs w:val="20"/>
          <w:shd w:val="clear" w:color="auto" w:fill="FFFFFF"/>
        </w:rPr>
        <w:t xml:space="preserve">Por último, y que cabe destacar en gran manera como ventaja en el uso de este tipo de medios, es la rapidez de las transacciones. </w:t>
      </w:r>
      <w:r w:rsidR="000E0C94">
        <w:rPr>
          <w:rFonts w:ascii="Times New Roman" w:hAnsi="Times New Roman" w:cs="Times New Roman"/>
          <w:color w:val="333333"/>
          <w:sz w:val="20"/>
          <w:szCs w:val="20"/>
          <w:shd w:val="clear" w:color="auto" w:fill="FFFFFF"/>
        </w:rPr>
        <w:t>Es</w:t>
      </w:r>
      <w:r w:rsidRPr="00FD19BF">
        <w:rPr>
          <w:rFonts w:ascii="Times New Roman" w:hAnsi="Times New Roman" w:cs="Times New Roman"/>
          <w:color w:val="333333"/>
          <w:sz w:val="20"/>
          <w:szCs w:val="20"/>
          <w:shd w:val="clear" w:color="auto" w:fill="FFFFFF"/>
        </w:rPr>
        <w:t xml:space="preserve"> </w:t>
      </w:r>
      <w:r w:rsidR="000E0C94">
        <w:rPr>
          <w:rFonts w:ascii="Times New Roman" w:hAnsi="Times New Roman" w:cs="Times New Roman"/>
          <w:color w:val="333333"/>
          <w:sz w:val="20"/>
          <w:szCs w:val="20"/>
          <w:shd w:val="clear" w:color="auto" w:fill="FFFFFF"/>
        </w:rPr>
        <w:t xml:space="preserve">reseñable </w:t>
      </w:r>
      <w:r w:rsidRPr="00FD19BF">
        <w:rPr>
          <w:rFonts w:ascii="Times New Roman" w:hAnsi="Times New Roman" w:cs="Times New Roman"/>
          <w:color w:val="333333"/>
          <w:sz w:val="20"/>
          <w:szCs w:val="20"/>
          <w:shd w:val="clear" w:color="auto" w:fill="FFFFFF"/>
        </w:rPr>
        <w:t>que las plataformas de los diversos operadores o corredores de servicios de apuestas virtuales se configuran al tener en cuenta estos nuevos métodos de pago. Al no haber procedimientos bancarios, ofrecen </w:t>
      </w:r>
      <w:r w:rsidRPr="000E0C94">
        <w:rPr>
          <w:rFonts w:ascii="Times New Roman" w:hAnsi="Times New Roman" w:cs="Times New Roman"/>
          <w:iCs/>
          <w:color w:val="333333"/>
          <w:sz w:val="20"/>
          <w:szCs w:val="20"/>
          <w:shd w:val="clear" w:color="auto" w:fill="FFFFFF"/>
        </w:rPr>
        <w:t>rapidez</w:t>
      </w:r>
      <w:r w:rsidRPr="00FD19BF">
        <w:rPr>
          <w:rFonts w:ascii="Times New Roman" w:hAnsi="Times New Roman" w:cs="Times New Roman"/>
          <w:i/>
          <w:iCs/>
          <w:color w:val="333333"/>
          <w:sz w:val="20"/>
          <w:szCs w:val="20"/>
          <w:shd w:val="clear" w:color="auto" w:fill="FFFFFF"/>
        </w:rPr>
        <w:t xml:space="preserve"> y </w:t>
      </w:r>
      <w:r w:rsidRPr="000E0C94">
        <w:rPr>
          <w:rFonts w:ascii="Times New Roman" w:hAnsi="Times New Roman" w:cs="Times New Roman"/>
          <w:iCs/>
          <w:color w:val="333333"/>
          <w:sz w:val="20"/>
          <w:szCs w:val="20"/>
          <w:shd w:val="clear" w:color="auto" w:fill="FFFFFF"/>
        </w:rPr>
        <w:t>facilidad en las operaciones</w:t>
      </w:r>
      <w:r w:rsidRPr="000E0C94">
        <w:rPr>
          <w:rFonts w:ascii="Times New Roman" w:hAnsi="Times New Roman" w:cs="Times New Roman"/>
          <w:color w:val="333333"/>
          <w:sz w:val="20"/>
          <w:szCs w:val="20"/>
          <w:shd w:val="clear" w:color="auto" w:fill="FFFFFF"/>
        </w:rPr>
        <w:t>.</w:t>
      </w:r>
    </w:p>
    <w:p w:rsidR="000E0C94" w:rsidRDefault="000E0C94" w:rsidP="000E0C94">
      <w:pPr>
        <w:pStyle w:val="Ttulo4"/>
        <w:jc w:val="both"/>
      </w:pPr>
      <w:r w:rsidRPr="000E0C94">
        <w:lastRenderedPageBreak/>
        <w:t>Comparativa</w:t>
      </w:r>
    </w:p>
    <w:p w:rsidR="000E0C94" w:rsidRPr="000E0C94" w:rsidRDefault="000E0C94" w:rsidP="000E0C94">
      <w:r>
        <w:rPr>
          <w:noProof/>
          <w:lang w:eastAsia="es-ES"/>
        </w:rPr>
        <w:drawing>
          <wp:inline distT="0" distB="0" distL="0" distR="0">
            <wp:extent cx="6029046" cy="2450592"/>
            <wp:effectExtent l="19050" t="0" r="9804" b="6858"/>
            <wp:docPr id="24"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rsidR="000E0C94" w:rsidRPr="00FD19BF" w:rsidRDefault="000E0C94" w:rsidP="00FD19BF">
      <w:pPr>
        <w:jc w:val="both"/>
        <w:rPr>
          <w:rFonts w:ascii="Times New Roman" w:hAnsi="Times New Roman" w:cs="Times New Roman"/>
          <w:color w:val="333333"/>
          <w:sz w:val="20"/>
          <w:szCs w:val="20"/>
          <w:shd w:val="clear" w:color="auto" w:fill="FFFFFF"/>
        </w:rPr>
      </w:pPr>
    </w:p>
    <w:p w:rsidR="00FD19BF" w:rsidRPr="00FD19BF" w:rsidRDefault="00FD19BF" w:rsidP="00F632D9">
      <w:pPr>
        <w:jc w:val="both"/>
      </w:pPr>
    </w:p>
    <w:p w:rsidR="00D7475A" w:rsidRDefault="00D7475A" w:rsidP="00714637"/>
    <w:p w:rsidR="00D7475A" w:rsidRDefault="00D7475A" w:rsidP="00714637"/>
    <w:p w:rsidR="006D43CE" w:rsidRPr="004B77BA" w:rsidRDefault="006D43CE" w:rsidP="004B77BA"/>
    <w:sectPr w:rsidR="006D43CE" w:rsidRPr="004B77BA" w:rsidSect="009F27C5">
      <w:footerReference w:type="default" r:id="rId40"/>
      <w:headerReference w:type="first" r:id="rId41"/>
      <w:pgSz w:w="11906" w:h="16838"/>
      <w:pgMar w:top="1417" w:right="1701" w:bottom="1417" w:left="1701" w:header="680"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5A79" w:rsidRDefault="00B85A79" w:rsidP="006B22AA">
      <w:pPr>
        <w:spacing w:after="0" w:line="240" w:lineRule="auto"/>
      </w:pPr>
      <w:r>
        <w:separator/>
      </w:r>
    </w:p>
  </w:endnote>
  <w:endnote w:type="continuationSeparator" w:id="0">
    <w:p w:rsidR="00B85A79" w:rsidRDefault="00B85A79" w:rsidP="006B22A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0909115"/>
      <w:docPartObj>
        <w:docPartGallery w:val="Page Numbers (Bottom of Page)"/>
        <w:docPartUnique/>
      </w:docPartObj>
    </w:sdtPr>
    <w:sdtContent>
      <w:p w:rsidR="006B22AA" w:rsidRDefault="00C933AA">
        <w:pPr>
          <w:pStyle w:val="Piedepgina"/>
        </w:pPr>
        <w: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2051" type="#_x0000_t5" style="position:absolute;margin-left:657.4pt;margin-top:0;width:96.55pt;height:59.95pt;z-index:251659264;visibility:visible;mso-position-horizontal:right;mso-position-horizontal-relative:page;mso-position-vertical:bottom;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" adj="21600" fillcolor="#d2eaf1" stroked="f">
              <v:textbox style="mso-next-textbox:#_x0000_s2051">
                <w:txbxContent>
                  <w:p w:rsidR="006B22AA" w:rsidRPr="009F27C5" w:rsidRDefault="00C933AA">
                    <w:pPr>
                      <w:jc w:val="center"/>
                      <w:rPr>
                        <w:sz w:val="8"/>
                        <w:szCs w:val="32"/>
                      </w:rPr>
                    </w:pPr>
                    <w:r w:rsidRPr="00C933AA">
                      <w:rPr>
                        <w:rFonts w:eastAsiaTheme="minorEastAsia" w:cs="Times New Roman"/>
                        <w:sz w:val="8"/>
                        <w:szCs w:val="8"/>
                      </w:rPr>
                      <w:fldChar w:fldCharType="begin"/>
                    </w:r>
                    <w:r w:rsidR="006B22AA" w:rsidRPr="009F27C5">
                      <w:rPr>
                        <w:sz w:val="8"/>
                        <w:szCs w:val="8"/>
                      </w:rPr>
                      <w:instrText>PAGE    \* MERGEFORMAT</w:instrText>
                    </w:r>
                    <w:r w:rsidRPr="00C933AA">
                      <w:rPr>
                        <w:rFonts w:eastAsiaTheme="minorEastAsia" w:cs="Times New Roman"/>
                        <w:sz w:val="8"/>
                        <w:szCs w:val="8"/>
                      </w:rPr>
                      <w:fldChar w:fldCharType="separate"/>
                    </w:r>
                    <w:r w:rsidR="00910E40" w:rsidRPr="00910E40">
                      <w:rPr>
                        <w:rFonts w:asciiTheme="majorHAnsi" w:eastAsiaTheme="majorEastAsia" w:hAnsiTheme="majorHAnsi" w:cstheme="majorBidi"/>
                        <w:noProof/>
                        <w:sz w:val="32"/>
                        <w:szCs w:val="32"/>
                      </w:rPr>
                      <w:t>15</w:t>
                    </w:r>
                    <w:r w:rsidRPr="009F27C5">
                      <w:rPr>
                        <w:rFonts w:asciiTheme="majorHAnsi" w:eastAsiaTheme="majorEastAsia" w:hAnsiTheme="majorHAnsi" w:cstheme="majorBidi"/>
                        <w:sz w:val="32"/>
                        <w:szCs w:val="32"/>
                      </w:rPr>
                      <w:fldChar w:fldCharType="end"/>
                    </w:r>
                  </w:p>
                </w:txbxContent>
              </v:textbox>
              <w10:wrap anchorx="page"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5A79" w:rsidRDefault="00B85A79" w:rsidP="006B22AA">
      <w:pPr>
        <w:spacing w:after="0" w:line="240" w:lineRule="auto"/>
      </w:pPr>
      <w:r>
        <w:separator/>
      </w:r>
    </w:p>
  </w:footnote>
  <w:footnote w:type="continuationSeparator" w:id="0">
    <w:p w:rsidR="00B85A79" w:rsidRDefault="00B85A79" w:rsidP="006B22A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22AA" w:rsidRDefault="006B22AA">
    <w:pPr>
      <w:pStyle w:val="Encabezado"/>
    </w:pPr>
  </w:p>
  <w:p w:rsidR="006B22AA" w:rsidRDefault="006B22AA">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5F3E2A"/>
    <w:multiLevelType w:val="multilevel"/>
    <w:tmpl w:val="FFAC3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9A56E2"/>
    <w:multiLevelType w:val="multilevel"/>
    <w:tmpl w:val="E166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AE5A12"/>
    <w:multiLevelType w:val="hybridMultilevel"/>
    <w:tmpl w:val="5A1C49B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6EA9114F"/>
    <w:multiLevelType w:val="multilevel"/>
    <w:tmpl w:val="8080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93F45ED"/>
    <w:multiLevelType w:val="hybridMultilevel"/>
    <w:tmpl w:val="B83A255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drawingGridHorizontalSpacing w:val="110"/>
  <w:displayHorizontalDrawingGridEvery w:val="2"/>
  <w:characterSpacingControl w:val="doNotCompress"/>
  <w:hdrShapeDefaults>
    <o:shapedefaults v:ext="edit" spidmax="4098"/>
    <o:shapelayout v:ext="edit">
      <o:idmap v:ext="edit" data="2"/>
    </o:shapelayout>
  </w:hdrShapeDefaults>
  <w:footnotePr>
    <w:footnote w:id="-1"/>
    <w:footnote w:id="0"/>
  </w:footnotePr>
  <w:endnotePr>
    <w:endnote w:id="-1"/>
    <w:endnote w:id="0"/>
  </w:endnotePr>
  <w:compat/>
  <w:rsids>
    <w:rsidRoot w:val="00B22CCA"/>
    <w:rsid w:val="000E0C94"/>
    <w:rsid w:val="001C0F60"/>
    <w:rsid w:val="0027342B"/>
    <w:rsid w:val="00305433"/>
    <w:rsid w:val="00372D8E"/>
    <w:rsid w:val="003B42D3"/>
    <w:rsid w:val="003E5C3F"/>
    <w:rsid w:val="003E7FD2"/>
    <w:rsid w:val="004B77BA"/>
    <w:rsid w:val="005610A2"/>
    <w:rsid w:val="00574E2F"/>
    <w:rsid w:val="005C4CFE"/>
    <w:rsid w:val="00672CF1"/>
    <w:rsid w:val="00683ECD"/>
    <w:rsid w:val="006B22AA"/>
    <w:rsid w:val="006D43CE"/>
    <w:rsid w:val="006F6208"/>
    <w:rsid w:val="00714637"/>
    <w:rsid w:val="00755141"/>
    <w:rsid w:val="00820D14"/>
    <w:rsid w:val="00854B77"/>
    <w:rsid w:val="0088363A"/>
    <w:rsid w:val="008B2516"/>
    <w:rsid w:val="00910E40"/>
    <w:rsid w:val="009254D7"/>
    <w:rsid w:val="009720F7"/>
    <w:rsid w:val="009D238E"/>
    <w:rsid w:val="009E53E2"/>
    <w:rsid w:val="009F27C5"/>
    <w:rsid w:val="00A41655"/>
    <w:rsid w:val="00A44D0E"/>
    <w:rsid w:val="00AB60C4"/>
    <w:rsid w:val="00B07B60"/>
    <w:rsid w:val="00B22CCA"/>
    <w:rsid w:val="00B44872"/>
    <w:rsid w:val="00B85A79"/>
    <w:rsid w:val="00BE6FD6"/>
    <w:rsid w:val="00C03296"/>
    <w:rsid w:val="00C220C3"/>
    <w:rsid w:val="00C933AA"/>
    <w:rsid w:val="00D0096E"/>
    <w:rsid w:val="00D11F83"/>
    <w:rsid w:val="00D30973"/>
    <w:rsid w:val="00D7475A"/>
    <w:rsid w:val="00D773C7"/>
    <w:rsid w:val="00DC059B"/>
    <w:rsid w:val="00DD0D67"/>
    <w:rsid w:val="00E83857"/>
    <w:rsid w:val="00F6167A"/>
    <w:rsid w:val="00F632D9"/>
    <w:rsid w:val="00F8721D"/>
    <w:rsid w:val="00FB76ED"/>
    <w:rsid w:val="00FD19BF"/>
    <w:rsid w:val="00FF531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20C3"/>
  </w:style>
  <w:style w:type="paragraph" w:styleId="Ttulo1">
    <w:name w:val="heading 1"/>
    <w:basedOn w:val="Normal"/>
    <w:next w:val="Normal"/>
    <w:link w:val="Ttulo1Car"/>
    <w:uiPriority w:val="9"/>
    <w:qFormat/>
    <w:rsid w:val="00B22C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22CC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B22CCA"/>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B22C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1"/>
    <w:qFormat/>
    <w:rsid w:val="00B22CC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B22CCA"/>
    <w:rPr>
      <w:rFonts w:asciiTheme="majorHAnsi" w:eastAsiaTheme="majorEastAsia" w:hAnsiTheme="majorHAnsi" w:cstheme="majorBidi"/>
      <w:i/>
      <w:iCs/>
      <w:color w:val="4F81BD" w:themeColor="accent1"/>
      <w:spacing w:val="15"/>
      <w:sz w:val="24"/>
      <w:szCs w:val="24"/>
    </w:rPr>
  </w:style>
  <w:style w:type="character" w:customStyle="1" w:styleId="Ttulo2Car">
    <w:name w:val="Título 2 Car"/>
    <w:basedOn w:val="Fuentedeprrafopredeter"/>
    <w:link w:val="Ttulo2"/>
    <w:uiPriority w:val="9"/>
    <w:rsid w:val="00B22CCA"/>
    <w:rPr>
      <w:rFonts w:asciiTheme="majorHAnsi" w:eastAsiaTheme="majorEastAsia" w:hAnsiTheme="majorHAnsi" w:cstheme="majorBidi"/>
      <w:b/>
      <w:bCs/>
      <w:color w:val="4F81BD" w:themeColor="accent1"/>
      <w:sz w:val="26"/>
      <w:szCs w:val="26"/>
    </w:rPr>
  </w:style>
  <w:style w:type="character" w:styleId="Hipervnculo">
    <w:name w:val="Hyperlink"/>
    <w:basedOn w:val="Fuentedeprrafopredeter"/>
    <w:uiPriority w:val="99"/>
    <w:unhideWhenUsed/>
    <w:rsid w:val="00B22CCA"/>
    <w:rPr>
      <w:color w:val="0000FF"/>
      <w:u w:val="single"/>
    </w:rPr>
  </w:style>
  <w:style w:type="paragraph" w:styleId="Textodeglobo">
    <w:name w:val="Balloon Text"/>
    <w:basedOn w:val="Normal"/>
    <w:link w:val="TextodegloboCar"/>
    <w:uiPriority w:val="99"/>
    <w:semiHidden/>
    <w:unhideWhenUsed/>
    <w:rsid w:val="00B22CC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22CCA"/>
    <w:rPr>
      <w:rFonts w:ascii="Tahoma" w:hAnsi="Tahoma" w:cs="Tahoma"/>
      <w:sz w:val="16"/>
      <w:szCs w:val="16"/>
    </w:rPr>
  </w:style>
  <w:style w:type="character" w:customStyle="1" w:styleId="Ttulo1Car">
    <w:name w:val="Título 1 Car"/>
    <w:basedOn w:val="Fuentedeprrafopredeter"/>
    <w:link w:val="Ttulo1"/>
    <w:uiPriority w:val="9"/>
    <w:rsid w:val="00B22CCA"/>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B22CC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B22CCA"/>
    <w:rPr>
      <w:rFonts w:asciiTheme="majorHAnsi" w:eastAsiaTheme="majorEastAsia" w:hAnsiTheme="majorHAnsi" w:cstheme="majorBidi"/>
      <w:color w:val="17365D" w:themeColor="text2" w:themeShade="BF"/>
      <w:spacing w:val="5"/>
      <w:kern w:val="28"/>
      <w:sz w:val="52"/>
      <w:szCs w:val="52"/>
    </w:rPr>
  </w:style>
  <w:style w:type="character" w:customStyle="1" w:styleId="Ttulo3Car">
    <w:name w:val="Título 3 Car"/>
    <w:basedOn w:val="Fuentedeprrafopredeter"/>
    <w:link w:val="Ttulo3"/>
    <w:uiPriority w:val="9"/>
    <w:rsid w:val="00B22CCA"/>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B22CCA"/>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6F620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plantilla-componente-parrafo">
    <w:name w:val="plantilla-componente-parrafo"/>
    <w:basedOn w:val="Fuentedeprrafopredeter"/>
    <w:rsid w:val="00FF5317"/>
  </w:style>
  <w:style w:type="character" w:styleId="Textoennegrita">
    <w:name w:val="Strong"/>
    <w:basedOn w:val="Fuentedeprrafopredeter"/>
    <w:uiPriority w:val="22"/>
    <w:qFormat/>
    <w:rsid w:val="00FF5317"/>
    <w:rPr>
      <w:b/>
      <w:bCs/>
    </w:rPr>
  </w:style>
  <w:style w:type="paragraph" w:styleId="TtulodeTDC">
    <w:name w:val="TOC Heading"/>
    <w:basedOn w:val="Ttulo1"/>
    <w:next w:val="Normal"/>
    <w:uiPriority w:val="39"/>
    <w:unhideWhenUsed/>
    <w:qFormat/>
    <w:rsid w:val="00574E2F"/>
    <w:pPr>
      <w:outlineLvl w:val="9"/>
    </w:pPr>
  </w:style>
  <w:style w:type="paragraph" w:styleId="TDC1">
    <w:name w:val="toc 1"/>
    <w:basedOn w:val="Normal"/>
    <w:next w:val="Normal"/>
    <w:autoRedefine/>
    <w:uiPriority w:val="39"/>
    <w:unhideWhenUsed/>
    <w:qFormat/>
    <w:rsid w:val="00574E2F"/>
    <w:pPr>
      <w:spacing w:after="100"/>
    </w:pPr>
  </w:style>
  <w:style w:type="paragraph" w:styleId="TDC2">
    <w:name w:val="toc 2"/>
    <w:basedOn w:val="Normal"/>
    <w:next w:val="Normal"/>
    <w:autoRedefine/>
    <w:uiPriority w:val="39"/>
    <w:semiHidden/>
    <w:unhideWhenUsed/>
    <w:qFormat/>
    <w:rsid w:val="00574E2F"/>
    <w:pPr>
      <w:spacing w:after="100"/>
      <w:ind w:left="220"/>
    </w:pPr>
    <w:rPr>
      <w:rFonts w:eastAsiaTheme="minorEastAsia"/>
    </w:rPr>
  </w:style>
  <w:style w:type="paragraph" w:styleId="TDC3">
    <w:name w:val="toc 3"/>
    <w:basedOn w:val="Normal"/>
    <w:next w:val="Normal"/>
    <w:autoRedefine/>
    <w:uiPriority w:val="39"/>
    <w:semiHidden/>
    <w:unhideWhenUsed/>
    <w:qFormat/>
    <w:rsid w:val="00574E2F"/>
    <w:pPr>
      <w:spacing w:after="100"/>
      <w:ind w:left="440"/>
    </w:pPr>
    <w:rPr>
      <w:rFonts w:eastAsiaTheme="minorEastAsia"/>
    </w:rPr>
  </w:style>
  <w:style w:type="character" w:styleId="Hipervnculovisitado">
    <w:name w:val="FollowedHyperlink"/>
    <w:basedOn w:val="Fuentedeprrafopredeter"/>
    <w:uiPriority w:val="99"/>
    <w:semiHidden/>
    <w:unhideWhenUsed/>
    <w:rsid w:val="00372D8E"/>
    <w:rPr>
      <w:color w:val="800080" w:themeColor="followedHyperlink"/>
      <w:u w:val="single"/>
    </w:rPr>
  </w:style>
  <w:style w:type="paragraph" w:styleId="Prrafodelista">
    <w:name w:val="List Paragraph"/>
    <w:basedOn w:val="Normal"/>
    <w:uiPriority w:val="34"/>
    <w:qFormat/>
    <w:rsid w:val="003E7FD2"/>
    <w:pPr>
      <w:ind w:left="720"/>
      <w:contextualSpacing/>
    </w:pPr>
  </w:style>
  <w:style w:type="character" w:styleId="Refdecomentario">
    <w:name w:val="annotation reference"/>
    <w:basedOn w:val="Fuentedeprrafopredeter"/>
    <w:uiPriority w:val="99"/>
    <w:semiHidden/>
    <w:unhideWhenUsed/>
    <w:rsid w:val="0088363A"/>
    <w:rPr>
      <w:sz w:val="16"/>
      <w:szCs w:val="16"/>
    </w:rPr>
  </w:style>
  <w:style w:type="paragraph" w:styleId="Textocomentario">
    <w:name w:val="annotation text"/>
    <w:basedOn w:val="Normal"/>
    <w:link w:val="TextocomentarioCar"/>
    <w:uiPriority w:val="99"/>
    <w:semiHidden/>
    <w:unhideWhenUsed/>
    <w:rsid w:val="0088363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8363A"/>
    <w:rPr>
      <w:sz w:val="20"/>
      <w:szCs w:val="20"/>
    </w:rPr>
  </w:style>
  <w:style w:type="paragraph" w:styleId="Asuntodelcomentario">
    <w:name w:val="annotation subject"/>
    <w:basedOn w:val="Textocomentario"/>
    <w:next w:val="Textocomentario"/>
    <w:link w:val="AsuntodelcomentarioCar"/>
    <w:uiPriority w:val="99"/>
    <w:semiHidden/>
    <w:unhideWhenUsed/>
    <w:rsid w:val="0088363A"/>
    <w:rPr>
      <w:b/>
      <w:bCs/>
    </w:rPr>
  </w:style>
  <w:style w:type="character" w:customStyle="1" w:styleId="AsuntodelcomentarioCar">
    <w:name w:val="Asunto del comentario Car"/>
    <w:basedOn w:val="TextocomentarioCar"/>
    <w:link w:val="Asuntodelcomentario"/>
    <w:uiPriority w:val="99"/>
    <w:semiHidden/>
    <w:rsid w:val="0088363A"/>
    <w:rPr>
      <w:b/>
      <w:bCs/>
      <w:sz w:val="20"/>
      <w:szCs w:val="20"/>
    </w:rPr>
  </w:style>
  <w:style w:type="character" w:customStyle="1" w:styleId="UnresolvedMention">
    <w:name w:val="Unresolved Mention"/>
    <w:basedOn w:val="Fuentedeprrafopredeter"/>
    <w:uiPriority w:val="99"/>
    <w:semiHidden/>
    <w:unhideWhenUsed/>
    <w:rsid w:val="006B22AA"/>
    <w:rPr>
      <w:color w:val="605E5C"/>
      <w:shd w:val="clear" w:color="auto" w:fill="E1DFDD"/>
    </w:rPr>
  </w:style>
  <w:style w:type="paragraph" w:styleId="Sinespaciado">
    <w:name w:val="No Spacing"/>
    <w:link w:val="SinespaciadoCar"/>
    <w:uiPriority w:val="1"/>
    <w:qFormat/>
    <w:rsid w:val="006B22A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6B22AA"/>
    <w:rPr>
      <w:rFonts w:eastAsiaTheme="minorEastAsia"/>
      <w:lang w:eastAsia="es-ES"/>
    </w:rPr>
  </w:style>
  <w:style w:type="paragraph" w:styleId="Encabezado">
    <w:name w:val="header"/>
    <w:basedOn w:val="Normal"/>
    <w:link w:val="EncabezadoCar"/>
    <w:uiPriority w:val="99"/>
    <w:unhideWhenUsed/>
    <w:rsid w:val="006B22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22AA"/>
  </w:style>
  <w:style w:type="paragraph" w:styleId="Piedepgina">
    <w:name w:val="footer"/>
    <w:basedOn w:val="Normal"/>
    <w:link w:val="PiedepginaCar"/>
    <w:uiPriority w:val="99"/>
    <w:unhideWhenUsed/>
    <w:rsid w:val="006B22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22AA"/>
  </w:style>
  <w:style w:type="character" w:styleId="nfasis">
    <w:name w:val="Emphasis"/>
    <w:basedOn w:val="Fuentedeprrafopredeter"/>
    <w:uiPriority w:val="20"/>
    <w:qFormat/>
    <w:rsid w:val="00FD19BF"/>
    <w:rPr>
      <w:i/>
      <w:iCs/>
    </w:rPr>
  </w:style>
</w:styles>
</file>

<file path=word/webSettings.xml><?xml version="1.0" encoding="utf-8"?>
<w:webSettings xmlns:r="http://schemas.openxmlformats.org/officeDocument/2006/relationships" xmlns:w="http://schemas.openxmlformats.org/wordprocessingml/2006/main">
  <w:divs>
    <w:div w:id="37709177">
      <w:bodyDiv w:val="1"/>
      <w:marLeft w:val="0"/>
      <w:marRight w:val="0"/>
      <w:marTop w:val="0"/>
      <w:marBottom w:val="0"/>
      <w:divBdr>
        <w:top w:val="none" w:sz="0" w:space="0" w:color="auto"/>
        <w:left w:val="none" w:sz="0" w:space="0" w:color="auto"/>
        <w:bottom w:val="none" w:sz="0" w:space="0" w:color="auto"/>
        <w:right w:val="none" w:sz="0" w:space="0" w:color="auto"/>
      </w:divBdr>
    </w:div>
    <w:div w:id="222565653">
      <w:bodyDiv w:val="1"/>
      <w:marLeft w:val="0"/>
      <w:marRight w:val="0"/>
      <w:marTop w:val="0"/>
      <w:marBottom w:val="0"/>
      <w:divBdr>
        <w:top w:val="none" w:sz="0" w:space="0" w:color="auto"/>
        <w:left w:val="none" w:sz="0" w:space="0" w:color="auto"/>
        <w:bottom w:val="none" w:sz="0" w:space="0" w:color="auto"/>
        <w:right w:val="none" w:sz="0" w:space="0" w:color="auto"/>
      </w:divBdr>
    </w:div>
    <w:div w:id="273171630">
      <w:bodyDiv w:val="1"/>
      <w:marLeft w:val="0"/>
      <w:marRight w:val="0"/>
      <w:marTop w:val="0"/>
      <w:marBottom w:val="0"/>
      <w:divBdr>
        <w:top w:val="none" w:sz="0" w:space="0" w:color="auto"/>
        <w:left w:val="none" w:sz="0" w:space="0" w:color="auto"/>
        <w:bottom w:val="none" w:sz="0" w:space="0" w:color="auto"/>
        <w:right w:val="none" w:sz="0" w:space="0" w:color="auto"/>
      </w:divBdr>
    </w:div>
    <w:div w:id="320623680">
      <w:bodyDiv w:val="1"/>
      <w:marLeft w:val="0"/>
      <w:marRight w:val="0"/>
      <w:marTop w:val="0"/>
      <w:marBottom w:val="0"/>
      <w:divBdr>
        <w:top w:val="none" w:sz="0" w:space="0" w:color="auto"/>
        <w:left w:val="none" w:sz="0" w:space="0" w:color="auto"/>
        <w:bottom w:val="none" w:sz="0" w:space="0" w:color="auto"/>
        <w:right w:val="none" w:sz="0" w:space="0" w:color="auto"/>
      </w:divBdr>
    </w:div>
    <w:div w:id="518852217">
      <w:bodyDiv w:val="1"/>
      <w:marLeft w:val="0"/>
      <w:marRight w:val="0"/>
      <w:marTop w:val="0"/>
      <w:marBottom w:val="0"/>
      <w:divBdr>
        <w:top w:val="none" w:sz="0" w:space="0" w:color="auto"/>
        <w:left w:val="none" w:sz="0" w:space="0" w:color="auto"/>
        <w:bottom w:val="none" w:sz="0" w:space="0" w:color="auto"/>
        <w:right w:val="none" w:sz="0" w:space="0" w:color="auto"/>
      </w:divBdr>
    </w:div>
    <w:div w:id="622928139">
      <w:bodyDiv w:val="1"/>
      <w:marLeft w:val="0"/>
      <w:marRight w:val="0"/>
      <w:marTop w:val="0"/>
      <w:marBottom w:val="0"/>
      <w:divBdr>
        <w:top w:val="none" w:sz="0" w:space="0" w:color="auto"/>
        <w:left w:val="none" w:sz="0" w:space="0" w:color="auto"/>
        <w:bottom w:val="none" w:sz="0" w:space="0" w:color="auto"/>
        <w:right w:val="none" w:sz="0" w:space="0" w:color="auto"/>
      </w:divBdr>
    </w:div>
    <w:div w:id="625433499">
      <w:bodyDiv w:val="1"/>
      <w:marLeft w:val="0"/>
      <w:marRight w:val="0"/>
      <w:marTop w:val="0"/>
      <w:marBottom w:val="0"/>
      <w:divBdr>
        <w:top w:val="none" w:sz="0" w:space="0" w:color="auto"/>
        <w:left w:val="none" w:sz="0" w:space="0" w:color="auto"/>
        <w:bottom w:val="none" w:sz="0" w:space="0" w:color="auto"/>
        <w:right w:val="none" w:sz="0" w:space="0" w:color="auto"/>
      </w:divBdr>
    </w:div>
    <w:div w:id="644162232">
      <w:bodyDiv w:val="1"/>
      <w:marLeft w:val="0"/>
      <w:marRight w:val="0"/>
      <w:marTop w:val="0"/>
      <w:marBottom w:val="0"/>
      <w:divBdr>
        <w:top w:val="none" w:sz="0" w:space="0" w:color="auto"/>
        <w:left w:val="none" w:sz="0" w:space="0" w:color="auto"/>
        <w:bottom w:val="none" w:sz="0" w:space="0" w:color="auto"/>
        <w:right w:val="none" w:sz="0" w:space="0" w:color="auto"/>
      </w:divBdr>
    </w:div>
    <w:div w:id="1050618954">
      <w:bodyDiv w:val="1"/>
      <w:marLeft w:val="0"/>
      <w:marRight w:val="0"/>
      <w:marTop w:val="0"/>
      <w:marBottom w:val="0"/>
      <w:divBdr>
        <w:top w:val="none" w:sz="0" w:space="0" w:color="auto"/>
        <w:left w:val="none" w:sz="0" w:space="0" w:color="auto"/>
        <w:bottom w:val="none" w:sz="0" w:space="0" w:color="auto"/>
        <w:right w:val="none" w:sz="0" w:space="0" w:color="auto"/>
      </w:divBdr>
    </w:div>
    <w:div w:id="1137145661">
      <w:bodyDiv w:val="1"/>
      <w:marLeft w:val="0"/>
      <w:marRight w:val="0"/>
      <w:marTop w:val="0"/>
      <w:marBottom w:val="0"/>
      <w:divBdr>
        <w:top w:val="none" w:sz="0" w:space="0" w:color="auto"/>
        <w:left w:val="none" w:sz="0" w:space="0" w:color="auto"/>
        <w:bottom w:val="none" w:sz="0" w:space="0" w:color="auto"/>
        <w:right w:val="none" w:sz="0" w:space="0" w:color="auto"/>
      </w:divBdr>
    </w:div>
    <w:div w:id="1267078978">
      <w:bodyDiv w:val="1"/>
      <w:marLeft w:val="0"/>
      <w:marRight w:val="0"/>
      <w:marTop w:val="0"/>
      <w:marBottom w:val="0"/>
      <w:divBdr>
        <w:top w:val="none" w:sz="0" w:space="0" w:color="auto"/>
        <w:left w:val="none" w:sz="0" w:space="0" w:color="auto"/>
        <w:bottom w:val="none" w:sz="0" w:space="0" w:color="auto"/>
        <w:right w:val="none" w:sz="0" w:space="0" w:color="auto"/>
      </w:divBdr>
    </w:div>
    <w:div w:id="171202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www.cuartopoder.es/economia/2020/07/09/cambios-en-el-decreto-del-juego-anuncios-solo-de-madrugada-y-prohibidos-en-camisetas-deportivas/" TargetMode="External"/><Relationship Id="rId26" Type="http://schemas.openxmlformats.org/officeDocument/2006/relationships/image" Target="media/image9.png"/><Relationship Id="rId39" Type="http://schemas.microsoft.com/office/2007/relationships/diagramDrawing" Target="diagrams/drawing1.xml"/><Relationship Id="rId3" Type="http://schemas.openxmlformats.org/officeDocument/2006/relationships/numbering" Target="numbering.xml"/><Relationship Id="rId21" Type="http://schemas.openxmlformats.org/officeDocument/2006/relationships/hyperlink" Target="http://www.oepm.es/es/Bases_de_Datos_Marcas.html" TargetMode="External"/><Relationship Id="rId34" Type="http://schemas.openxmlformats.org/officeDocument/2006/relationships/image" Target="media/image14.gif"/><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yperlink" Target="http://www.boe.es/buscar/act.php?id=BOE-A-2011-9280" TargetMode="External"/><Relationship Id="rId25" Type="http://schemas.openxmlformats.org/officeDocument/2006/relationships/hyperlink" Target="https://www.nationalgeographic.com.es/ciencia/medidas-contra-coronavirus-habrian-salvado-mas-3-millones-vidas-europa_15605" TargetMode="External"/><Relationship Id="rId33" Type="http://schemas.openxmlformats.org/officeDocument/2006/relationships/hyperlink" Target="https://www.neteller.com/es?btag=a_90058b_91c_&amp;program=NTAFFILIATE" TargetMode="External"/><Relationship Id="rId38"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boe.es/diario_boe/txt.php?id=BOE-A-1996-8930" TargetMode="External"/><Relationship Id="rId29" Type="http://schemas.openxmlformats.org/officeDocument/2006/relationships/image" Target="media/image1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uropapress.es/economia/finanzas-00340/noticia-banco-espana-preve-pib-caiga-105-126-ano-crezca-41-73-2021-20200916110300.html" TargetMode="External"/><Relationship Id="rId24" Type="http://schemas.openxmlformats.org/officeDocument/2006/relationships/image" Target="media/image8.png"/><Relationship Id="rId32" Type="http://schemas.openxmlformats.org/officeDocument/2006/relationships/hyperlink" Target="https://www.paypal.com/es/home" TargetMode="External"/><Relationship Id="rId37" Type="http://schemas.openxmlformats.org/officeDocument/2006/relationships/diagramQuickStyle" Target="diagrams/quickStyle1.xml"/><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diagramLayout" Target="diagrams/layout1.xml"/><Relationship Id="rId10" Type="http://schemas.openxmlformats.org/officeDocument/2006/relationships/hyperlink" Target="https://www.eleconomista.es/economia/noticias/10778201/09/20/El-fracaso-en-la-gestion-de-la-pandemia-anticipa-un-otono-negro-para-la-economia-espanola.html" TargetMode="External"/><Relationship Id="rId19" Type="http://schemas.openxmlformats.org/officeDocument/2006/relationships/image" Target="media/image6.png"/><Relationship Id="rId31" Type="http://schemas.openxmlformats.org/officeDocument/2006/relationships/hyperlink" Target="https://bitcoin.org/es/" TargetMode="External"/><Relationship Id="rId4" Type="http://schemas.openxmlformats.org/officeDocument/2006/relationships/styles" Target="styles.xml"/><Relationship Id="rId9" Type="http://schemas.openxmlformats.org/officeDocument/2006/relationships/hyperlink" Target="https://www.eleconomista.es/empresas-finanzas/noticias/10772543/09/20/El-colapso-de-los-centros-de-salud-lastra-la-deteccion-precoz-del-Covid.html" TargetMode="External"/><Relationship Id="rId14" Type="http://schemas.openxmlformats.org/officeDocument/2006/relationships/image" Target="media/image3.png"/><Relationship Id="rId22" Type="http://schemas.openxmlformats.org/officeDocument/2006/relationships/hyperlink" Target="https://consultas2.oepm.es/clinmar/inicio.action"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diagramData" Target="diagrams/data1.xml"/><Relationship Id="rId43"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B72B7EB-5C91-419C-B767-7951D59D7A08}" type="doc">
      <dgm:prSet loTypeId="urn:microsoft.com/office/officeart/2005/8/layout/vList5" loCatId="list" qsTypeId="urn:microsoft.com/office/officeart/2005/8/quickstyle/simple1" qsCatId="simple" csTypeId="urn:microsoft.com/office/officeart/2005/8/colors/accent0_3" csCatId="mainScheme" phldr="1"/>
      <dgm:spPr/>
      <dgm:t>
        <a:bodyPr/>
        <a:lstStyle/>
        <a:p>
          <a:endParaRPr lang="es-ES"/>
        </a:p>
      </dgm:t>
    </dgm:pt>
    <dgm:pt modelId="{981CFF21-C45B-47E3-858E-3F46CF233919}">
      <dgm:prSet phldrT="[Texto]" custT="1"/>
      <dgm:spPr/>
      <dgm:t>
        <a:bodyPr/>
        <a:lstStyle/>
        <a:p>
          <a:r>
            <a:rPr lang="es-ES" sz="1400"/>
            <a:t>Competencia</a:t>
          </a:r>
          <a:endParaRPr lang="es-ES" sz="2100"/>
        </a:p>
      </dgm:t>
    </dgm:pt>
    <dgm:pt modelId="{23CC19EE-AA04-47D5-B042-9451AB907A00}" type="parTrans" cxnId="{27BA6744-9ACF-41A0-9CF4-E7B1856DC345}">
      <dgm:prSet/>
      <dgm:spPr/>
      <dgm:t>
        <a:bodyPr/>
        <a:lstStyle/>
        <a:p>
          <a:endParaRPr lang="es-ES"/>
        </a:p>
      </dgm:t>
    </dgm:pt>
    <dgm:pt modelId="{8509562F-E6D3-4920-999B-6F7149F00ABE}" type="sibTrans" cxnId="{27BA6744-9ACF-41A0-9CF4-E7B1856DC345}">
      <dgm:prSet/>
      <dgm:spPr/>
      <dgm:t>
        <a:bodyPr/>
        <a:lstStyle/>
        <a:p>
          <a:endParaRPr lang="es-ES"/>
        </a:p>
      </dgm:t>
    </dgm:pt>
    <dgm:pt modelId="{F70CE161-A6A9-4F15-80A4-FE9A89F6D9BB}">
      <dgm:prSet phldrT="[Texto]" custT="1"/>
      <dgm:spPr/>
      <dgm:t>
        <a:bodyPr/>
        <a:lstStyle/>
        <a:p>
          <a:r>
            <a:rPr lang="es-ES" sz="1400"/>
            <a:t>PayPal</a:t>
          </a:r>
        </a:p>
      </dgm:t>
    </dgm:pt>
    <dgm:pt modelId="{916ECA0E-6453-40A0-8B9C-305EC66EE200}" type="parTrans" cxnId="{217372DD-7528-4A34-A0F2-2489C51DE5BB}">
      <dgm:prSet/>
      <dgm:spPr/>
      <dgm:t>
        <a:bodyPr/>
        <a:lstStyle/>
        <a:p>
          <a:endParaRPr lang="es-ES"/>
        </a:p>
      </dgm:t>
    </dgm:pt>
    <dgm:pt modelId="{86545E21-346B-4933-907C-986B2C392AEE}" type="sibTrans" cxnId="{217372DD-7528-4A34-A0F2-2489C51DE5BB}">
      <dgm:prSet/>
      <dgm:spPr/>
      <dgm:t>
        <a:bodyPr/>
        <a:lstStyle/>
        <a:p>
          <a:endParaRPr lang="es-ES"/>
        </a:p>
      </dgm:t>
    </dgm:pt>
    <dgm:pt modelId="{9AF6877D-4926-4ABD-8DFE-22850C3DA862}">
      <dgm:prSet phldrT="[Texto]" custT="1"/>
      <dgm:spPr/>
      <dgm:t>
        <a:bodyPr/>
        <a:lstStyle/>
        <a:p>
          <a:r>
            <a:rPr lang="es-ES" sz="1400"/>
            <a:t>Características</a:t>
          </a:r>
          <a:endParaRPr lang="es-ES" sz="2100"/>
        </a:p>
      </dgm:t>
    </dgm:pt>
    <dgm:pt modelId="{868041E9-0F9F-43CC-B0D7-4EB64DDC6F7C}" type="parTrans" cxnId="{DFD47655-9A40-40B9-8BA6-1FD87272D841}">
      <dgm:prSet/>
      <dgm:spPr/>
      <dgm:t>
        <a:bodyPr/>
        <a:lstStyle/>
        <a:p>
          <a:endParaRPr lang="es-ES"/>
        </a:p>
      </dgm:t>
    </dgm:pt>
    <dgm:pt modelId="{C33EA8DF-A826-4A2F-BAEE-C311DCD920A0}" type="sibTrans" cxnId="{DFD47655-9A40-40B9-8BA6-1FD87272D841}">
      <dgm:prSet/>
      <dgm:spPr/>
      <dgm:t>
        <a:bodyPr/>
        <a:lstStyle/>
        <a:p>
          <a:endParaRPr lang="es-ES"/>
        </a:p>
      </dgm:t>
    </dgm:pt>
    <dgm:pt modelId="{3FECE8AB-7FC9-48C0-919A-E2BEBD5FD852}">
      <dgm:prSet phldrT="[Texto]" custT="1"/>
      <dgm:spPr/>
      <dgm:t>
        <a:bodyPr/>
        <a:lstStyle/>
        <a:p>
          <a:r>
            <a:rPr lang="es-ES" sz="1400"/>
            <a:t>Recibir pagos de muchos negocios por Internet (bolsa, forex, apuestas)</a:t>
          </a:r>
        </a:p>
      </dgm:t>
    </dgm:pt>
    <dgm:pt modelId="{DCD0692C-A2EC-4B51-9200-D42494858FE4}" type="parTrans" cxnId="{01D13B58-A7C0-40FA-B37B-16FB343D9626}">
      <dgm:prSet/>
      <dgm:spPr/>
      <dgm:t>
        <a:bodyPr/>
        <a:lstStyle/>
        <a:p>
          <a:endParaRPr lang="es-ES"/>
        </a:p>
      </dgm:t>
    </dgm:pt>
    <dgm:pt modelId="{D3CE0E5C-5D29-47F1-9733-9EA5B0E93239}" type="sibTrans" cxnId="{01D13B58-A7C0-40FA-B37B-16FB343D9626}">
      <dgm:prSet/>
      <dgm:spPr/>
      <dgm:t>
        <a:bodyPr/>
        <a:lstStyle/>
        <a:p>
          <a:endParaRPr lang="es-ES"/>
        </a:p>
      </dgm:t>
    </dgm:pt>
    <dgm:pt modelId="{A0E2BDF9-EA4D-4829-8680-AFF6AEDF4677}">
      <dgm:prSet phldrT="[Texto]" custT="1"/>
      <dgm:spPr/>
      <dgm:t>
        <a:bodyPr/>
        <a:lstStyle/>
        <a:p>
          <a:r>
            <a:rPr lang="es-ES" sz="1400"/>
            <a:t>Máxima seguridad de navegación con sistema SSL y encriptación de 128 bits.</a:t>
          </a:r>
        </a:p>
      </dgm:t>
    </dgm:pt>
    <dgm:pt modelId="{0EEBA78A-9C6C-47E1-937C-2EBDD4FD71EA}" type="parTrans" cxnId="{963990F5-60A0-48F5-B3C7-C9704DAFFB8F}">
      <dgm:prSet/>
      <dgm:spPr/>
      <dgm:t>
        <a:bodyPr/>
        <a:lstStyle/>
        <a:p>
          <a:endParaRPr lang="es-ES"/>
        </a:p>
      </dgm:t>
    </dgm:pt>
    <dgm:pt modelId="{C2A198E4-C206-4198-B51C-878A2F5555FC}" type="sibTrans" cxnId="{963990F5-60A0-48F5-B3C7-C9704DAFFB8F}">
      <dgm:prSet/>
      <dgm:spPr/>
      <dgm:t>
        <a:bodyPr/>
        <a:lstStyle/>
        <a:p>
          <a:endParaRPr lang="es-ES"/>
        </a:p>
      </dgm:t>
    </dgm:pt>
    <dgm:pt modelId="{2BFBFA2F-1273-4B09-B46F-2F333F32919F}">
      <dgm:prSet phldrT="[Texto]" custT="1"/>
      <dgm:spPr/>
      <dgm:t>
        <a:bodyPr/>
        <a:lstStyle/>
        <a:p>
          <a:r>
            <a:rPr lang="es-ES" sz="1400"/>
            <a:t>Diferenciación</a:t>
          </a:r>
          <a:endParaRPr lang="es-ES" sz="2100"/>
        </a:p>
      </dgm:t>
    </dgm:pt>
    <dgm:pt modelId="{32F9CBDA-0843-4C82-A522-0C31BDDB73F7}" type="parTrans" cxnId="{2E4F49EF-F392-4B0F-A15C-BF1FF7FA54D4}">
      <dgm:prSet/>
      <dgm:spPr/>
      <dgm:t>
        <a:bodyPr/>
        <a:lstStyle/>
        <a:p>
          <a:endParaRPr lang="es-ES"/>
        </a:p>
      </dgm:t>
    </dgm:pt>
    <dgm:pt modelId="{551BF0FD-BD30-44F7-BA96-61BA51D26E13}" type="sibTrans" cxnId="{2E4F49EF-F392-4B0F-A15C-BF1FF7FA54D4}">
      <dgm:prSet/>
      <dgm:spPr/>
      <dgm:t>
        <a:bodyPr/>
        <a:lstStyle/>
        <a:p>
          <a:endParaRPr lang="es-ES"/>
        </a:p>
      </dgm:t>
    </dgm:pt>
    <dgm:pt modelId="{5B1AC972-38CC-4377-A972-A9F27B6EDDF4}">
      <dgm:prSet phldrT="[Texto]" phldr="1" custT="1"/>
      <dgm:spPr/>
      <dgm:t>
        <a:bodyPr/>
        <a:lstStyle/>
        <a:p>
          <a:endParaRPr lang="es-ES" sz="1400"/>
        </a:p>
      </dgm:t>
    </dgm:pt>
    <dgm:pt modelId="{38535FA4-A6FD-4B09-8AED-80E87C386889}" type="parTrans" cxnId="{0A8AAE9F-282D-49B9-9A51-0BD5C183FD77}">
      <dgm:prSet/>
      <dgm:spPr/>
      <dgm:t>
        <a:bodyPr/>
        <a:lstStyle/>
        <a:p>
          <a:endParaRPr lang="es-ES"/>
        </a:p>
      </dgm:t>
    </dgm:pt>
    <dgm:pt modelId="{070E3C8C-9E88-4D7E-ABED-C873F123DC77}" type="sibTrans" cxnId="{0A8AAE9F-282D-49B9-9A51-0BD5C183FD77}">
      <dgm:prSet/>
      <dgm:spPr/>
      <dgm:t>
        <a:bodyPr/>
        <a:lstStyle/>
        <a:p>
          <a:endParaRPr lang="es-ES"/>
        </a:p>
      </dgm:t>
    </dgm:pt>
    <dgm:pt modelId="{D5CD9CA8-47B1-4455-9DAA-32D3677058AF}">
      <dgm:prSet phldrT="[Texto]" phldr="1" custT="1"/>
      <dgm:spPr/>
      <dgm:t>
        <a:bodyPr/>
        <a:lstStyle/>
        <a:p>
          <a:endParaRPr lang="es-ES" sz="1400"/>
        </a:p>
      </dgm:t>
    </dgm:pt>
    <dgm:pt modelId="{35C2504B-83BD-44C0-8062-34283BBF4928}" type="parTrans" cxnId="{6D34A6C4-E414-4BDA-8634-44504D290402}">
      <dgm:prSet/>
      <dgm:spPr/>
      <dgm:t>
        <a:bodyPr/>
        <a:lstStyle/>
        <a:p>
          <a:endParaRPr lang="es-ES"/>
        </a:p>
      </dgm:t>
    </dgm:pt>
    <dgm:pt modelId="{FDEDD941-DA11-49D6-B0EE-7CF63E296176}" type="sibTrans" cxnId="{6D34A6C4-E414-4BDA-8634-44504D290402}">
      <dgm:prSet/>
      <dgm:spPr/>
      <dgm:t>
        <a:bodyPr/>
        <a:lstStyle/>
        <a:p>
          <a:endParaRPr lang="es-ES"/>
        </a:p>
      </dgm:t>
    </dgm:pt>
    <dgm:pt modelId="{5C7D40A2-C3CD-486D-A342-C991FFE8FA9C}">
      <dgm:prSet phldrT="[Texto]" custT="1"/>
      <dgm:spPr/>
      <dgm:t>
        <a:bodyPr/>
        <a:lstStyle/>
        <a:p>
          <a:r>
            <a:rPr lang="es-ES" sz="1400"/>
            <a:t>Neteller</a:t>
          </a:r>
        </a:p>
      </dgm:t>
    </dgm:pt>
    <dgm:pt modelId="{C88FF168-6394-4F92-BD59-09082CA2627F}" type="parTrans" cxnId="{7BD842C6-CC41-4180-88E5-3D52C4E04F93}">
      <dgm:prSet/>
      <dgm:spPr/>
      <dgm:t>
        <a:bodyPr/>
        <a:lstStyle/>
        <a:p>
          <a:endParaRPr lang="es-ES"/>
        </a:p>
      </dgm:t>
    </dgm:pt>
    <dgm:pt modelId="{BDE7EED4-80CB-4094-B8C0-1381994F56CD}" type="sibTrans" cxnId="{7BD842C6-CC41-4180-88E5-3D52C4E04F93}">
      <dgm:prSet/>
      <dgm:spPr/>
      <dgm:t>
        <a:bodyPr/>
        <a:lstStyle/>
        <a:p>
          <a:endParaRPr lang="es-ES"/>
        </a:p>
      </dgm:t>
    </dgm:pt>
    <dgm:pt modelId="{E6FC08BB-C022-48C5-ADA2-D20078EAC1AE}" type="pres">
      <dgm:prSet presAssocID="{BB72B7EB-5C91-419C-B767-7951D59D7A08}" presName="Name0" presStyleCnt="0">
        <dgm:presLayoutVars>
          <dgm:dir/>
          <dgm:animLvl val="lvl"/>
          <dgm:resizeHandles val="exact"/>
        </dgm:presLayoutVars>
      </dgm:prSet>
      <dgm:spPr/>
    </dgm:pt>
    <dgm:pt modelId="{757D7ED9-FAC1-4A69-8A02-6A4254AD41BE}" type="pres">
      <dgm:prSet presAssocID="{981CFF21-C45B-47E3-858E-3F46CF233919}" presName="linNode" presStyleCnt="0"/>
      <dgm:spPr/>
    </dgm:pt>
    <dgm:pt modelId="{7E7B2FF9-F108-489E-A8A2-45A97F7CC0A2}" type="pres">
      <dgm:prSet presAssocID="{981CFF21-C45B-47E3-858E-3F46CF233919}" presName="parentText" presStyleLbl="node1" presStyleIdx="0" presStyleCnt="3">
        <dgm:presLayoutVars>
          <dgm:chMax val="1"/>
          <dgm:bulletEnabled val="1"/>
        </dgm:presLayoutVars>
      </dgm:prSet>
      <dgm:spPr/>
    </dgm:pt>
    <dgm:pt modelId="{A9216E0E-0D5D-4C33-9693-B80057DD453A}" type="pres">
      <dgm:prSet presAssocID="{981CFF21-C45B-47E3-858E-3F46CF233919}" presName="descendantText" presStyleLbl="alignAccFollowNode1" presStyleIdx="0" presStyleCnt="3">
        <dgm:presLayoutVars>
          <dgm:bulletEnabled val="1"/>
        </dgm:presLayoutVars>
      </dgm:prSet>
      <dgm:spPr/>
    </dgm:pt>
    <dgm:pt modelId="{E33BD92F-3F5E-4604-A460-141DBD7D6A42}" type="pres">
      <dgm:prSet presAssocID="{8509562F-E6D3-4920-999B-6F7149F00ABE}" presName="sp" presStyleCnt="0"/>
      <dgm:spPr/>
    </dgm:pt>
    <dgm:pt modelId="{1764261D-0BE6-4684-B2ED-4C53D552E238}" type="pres">
      <dgm:prSet presAssocID="{9AF6877D-4926-4ABD-8DFE-22850C3DA862}" presName="linNode" presStyleCnt="0"/>
      <dgm:spPr/>
    </dgm:pt>
    <dgm:pt modelId="{ACB104B9-36C0-4F60-90D3-C16604DA952D}" type="pres">
      <dgm:prSet presAssocID="{9AF6877D-4926-4ABD-8DFE-22850C3DA862}" presName="parentText" presStyleLbl="node1" presStyleIdx="1" presStyleCnt="3">
        <dgm:presLayoutVars>
          <dgm:chMax val="1"/>
          <dgm:bulletEnabled val="1"/>
        </dgm:presLayoutVars>
      </dgm:prSet>
      <dgm:spPr/>
    </dgm:pt>
    <dgm:pt modelId="{BA89E9B4-4CEA-4AE0-B469-76A55E7E5D22}" type="pres">
      <dgm:prSet presAssocID="{9AF6877D-4926-4ABD-8DFE-22850C3DA862}" presName="descendantText" presStyleLbl="alignAccFollowNode1" presStyleIdx="1" presStyleCnt="3">
        <dgm:presLayoutVars>
          <dgm:bulletEnabled val="1"/>
        </dgm:presLayoutVars>
      </dgm:prSet>
      <dgm:spPr/>
      <dgm:t>
        <a:bodyPr/>
        <a:lstStyle/>
        <a:p>
          <a:endParaRPr lang="es-ES"/>
        </a:p>
      </dgm:t>
    </dgm:pt>
    <dgm:pt modelId="{2FBC34C3-2CEB-469F-AEBB-49AEEAEE83A5}" type="pres">
      <dgm:prSet presAssocID="{C33EA8DF-A826-4A2F-BAEE-C311DCD920A0}" presName="sp" presStyleCnt="0"/>
      <dgm:spPr/>
    </dgm:pt>
    <dgm:pt modelId="{AD1F06DE-8C0C-41C3-AB97-E5B15D384DB7}" type="pres">
      <dgm:prSet presAssocID="{2BFBFA2F-1273-4B09-B46F-2F333F32919F}" presName="linNode" presStyleCnt="0"/>
      <dgm:spPr/>
    </dgm:pt>
    <dgm:pt modelId="{A6484941-DDC8-4679-BBBA-F87DBC790B35}" type="pres">
      <dgm:prSet presAssocID="{2BFBFA2F-1273-4B09-B46F-2F333F32919F}" presName="parentText" presStyleLbl="node1" presStyleIdx="2" presStyleCnt="3">
        <dgm:presLayoutVars>
          <dgm:chMax val="1"/>
          <dgm:bulletEnabled val="1"/>
        </dgm:presLayoutVars>
      </dgm:prSet>
      <dgm:spPr/>
    </dgm:pt>
    <dgm:pt modelId="{C4DA7438-0399-46B1-8169-34997BD3FFF5}" type="pres">
      <dgm:prSet presAssocID="{2BFBFA2F-1273-4B09-B46F-2F333F32919F}" presName="descendantText" presStyleLbl="alignAccFollowNode1" presStyleIdx="2" presStyleCnt="3">
        <dgm:presLayoutVars>
          <dgm:bulletEnabled val="1"/>
        </dgm:presLayoutVars>
      </dgm:prSet>
      <dgm:spPr/>
    </dgm:pt>
  </dgm:ptLst>
  <dgm:cxnLst>
    <dgm:cxn modelId="{73EDF160-42D1-4D3D-AC67-4BA331D93C35}" type="presOf" srcId="{D5CD9CA8-47B1-4455-9DAA-32D3677058AF}" destId="{C4DA7438-0399-46B1-8169-34997BD3FFF5}" srcOrd="0" destOrd="1" presId="urn:microsoft.com/office/officeart/2005/8/layout/vList5"/>
    <dgm:cxn modelId="{FADB146C-54A6-4256-9752-3F229B256C30}" type="presOf" srcId="{9AF6877D-4926-4ABD-8DFE-22850C3DA862}" destId="{ACB104B9-36C0-4F60-90D3-C16604DA952D}" srcOrd="0" destOrd="0" presId="urn:microsoft.com/office/officeart/2005/8/layout/vList5"/>
    <dgm:cxn modelId="{2E4F49EF-F392-4B0F-A15C-BF1FF7FA54D4}" srcId="{BB72B7EB-5C91-419C-B767-7951D59D7A08}" destId="{2BFBFA2F-1273-4B09-B46F-2F333F32919F}" srcOrd="2" destOrd="0" parTransId="{32F9CBDA-0843-4C82-A522-0C31BDDB73F7}" sibTransId="{551BF0FD-BD30-44F7-BA96-61BA51D26E13}"/>
    <dgm:cxn modelId="{25D561C2-C488-45FC-9943-092723C65658}" type="presOf" srcId="{F70CE161-A6A9-4F15-80A4-FE9A89F6D9BB}" destId="{A9216E0E-0D5D-4C33-9693-B80057DD453A}" srcOrd="0" destOrd="0" presId="urn:microsoft.com/office/officeart/2005/8/layout/vList5"/>
    <dgm:cxn modelId="{6B7A4E7F-DDB0-41D0-8FA7-0774C56BED29}" type="presOf" srcId="{A0E2BDF9-EA4D-4829-8680-AFF6AEDF4677}" destId="{BA89E9B4-4CEA-4AE0-B469-76A55E7E5D22}" srcOrd="0" destOrd="1" presId="urn:microsoft.com/office/officeart/2005/8/layout/vList5"/>
    <dgm:cxn modelId="{217372DD-7528-4A34-A0F2-2489C51DE5BB}" srcId="{981CFF21-C45B-47E3-858E-3F46CF233919}" destId="{F70CE161-A6A9-4F15-80A4-FE9A89F6D9BB}" srcOrd="0" destOrd="0" parTransId="{916ECA0E-6453-40A0-8B9C-305EC66EE200}" sibTransId="{86545E21-346B-4933-907C-986B2C392AEE}"/>
    <dgm:cxn modelId="{649728B8-02E4-4966-82FB-B52F152196AF}" type="presOf" srcId="{BB72B7EB-5C91-419C-B767-7951D59D7A08}" destId="{E6FC08BB-C022-48C5-ADA2-D20078EAC1AE}" srcOrd="0" destOrd="0" presId="urn:microsoft.com/office/officeart/2005/8/layout/vList5"/>
    <dgm:cxn modelId="{6D34A6C4-E414-4BDA-8634-44504D290402}" srcId="{2BFBFA2F-1273-4B09-B46F-2F333F32919F}" destId="{D5CD9CA8-47B1-4455-9DAA-32D3677058AF}" srcOrd="1" destOrd="0" parTransId="{35C2504B-83BD-44C0-8062-34283BBF4928}" sibTransId="{FDEDD941-DA11-49D6-B0EE-7CF63E296176}"/>
    <dgm:cxn modelId="{963990F5-60A0-48F5-B3C7-C9704DAFFB8F}" srcId="{9AF6877D-4926-4ABD-8DFE-22850C3DA862}" destId="{A0E2BDF9-EA4D-4829-8680-AFF6AEDF4677}" srcOrd="1" destOrd="0" parTransId="{0EEBA78A-9C6C-47E1-937C-2EBDD4FD71EA}" sibTransId="{C2A198E4-C206-4198-B51C-878A2F5555FC}"/>
    <dgm:cxn modelId="{27BA6744-9ACF-41A0-9CF4-E7B1856DC345}" srcId="{BB72B7EB-5C91-419C-B767-7951D59D7A08}" destId="{981CFF21-C45B-47E3-858E-3F46CF233919}" srcOrd="0" destOrd="0" parTransId="{23CC19EE-AA04-47D5-B042-9451AB907A00}" sibTransId="{8509562F-E6D3-4920-999B-6F7149F00ABE}"/>
    <dgm:cxn modelId="{01D13B58-A7C0-40FA-B37B-16FB343D9626}" srcId="{9AF6877D-4926-4ABD-8DFE-22850C3DA862}" destId="{3FECE8AB-7FC9-48C0-919A-E2BEBD5FD852}" srcOrd="0" destOrd="0" parTransId="{DCD0692C-A2EC-4B51-9200-D42494858FE4}" sibTransId="{D3CE0E5C-5D29-47F1-9733-9EA5B0E93239}"/>
    <dgm:cxn modelId="{D3CC0941-30FB-4D71-A108-24E57A20F46C}" type="presOf" srcId="{5B1AC972-38CC-4377-A972-A9F27B6EDDF4}" destId="{C4DA7438-0399-46B1-8169-34997BD3FFF5}" srcOrd="0" destOrd="0" presId="urn:microsoft.com/office/officeart/2005/8/layout/vList5"/>
    <dgm:cxn modelId="{EE2E5482-29BB-4F0C-BED5-2A4E748265DE}" type="presOf" srcId="{5C7D40A2-C3CD-486D-A342-C991FFE8FA9C}" destId="{A9216E0E-0D5D-4C33-9693-B80057DD453A}" srcOrd="0" destOrd="1" presId="urn:microsoft.com/office/officeart/2005/8/layout/vList5"/>
    <dgm:cxn modelId="{7BD842C6-CC41-4180-88E5-3D52C4E04F93}" srcId="{981CFF21-C45B-47E3-858E-3F46CF233919}" destId="{5C7D40A2-C3CD-486D-A342-C991FFE8FA9C}" srcOrd="1" destOrd="0" parTransId="{C88FF168-6394-4F92-BD59-09082CA2627F}" sibTransId="{BDE7EED4-80CB-4094-B8C0-1381994F56CD}"/>
    <dgm:cxn modelId="{92E227CF-5049-4E25-B1E0-0E163646E132}" type="presOf" srcId="{3FECE8AB-7FC9-48C0-919A-E2BEBD5FD852}" destId="{BA89E9B4-4CEA-4AE0-B469-76A55E7E5D22}" srcOrd="0" destOrd="0" presId="urn:microsoft.com/office/officeart/2005/8/layout/vList5"/>
    <dgm:cxn modelId="{47F16CF2-4137-42FF-9DC8-A659342E05A5}" type="presOf" srcId="{2BFBFA2F-1273-4B09-B46F-2F333F32919F}" destId="{A6484941-DDC8-4679-BBBA-F87DBC790B35}" srcOrd="0" destOrd="0" presId="urn:microsoft.com/office/officeart/2005/8/layout/vList5"/>
    <dgm:cxn modelId="{0A8AAE9F-282D-49B9-9A51-0BD5C183FD77}" srcId="{2BFBFA2F-1273-4B09-B46F-2F333F32919F}" destId="{5B1AC972-38CC-4377-A972-A9F27B6EDDF4}" srcOrd="0" destOrd="0" parTransId="{38535FA4-A6FD-4B09-8AED-80E87C386889}" sibTransId="{070E3C8C-9E88-4D7E-ABED-C873F123DC77}"/>
    <dgm:cxn modelId="{DFD47655-9A40-40B9-8BA6-1FD87272D841}" srcId="{BB72B7EB-5C91-419C-B767-7951D59D7A08}" destId="{9AF6877D-4926-4ABD-8DFE-22850C3DA862}" srcOrd="1" destOrd="0" parTransId="{868041E9-0F9F-43CC-B0D7-4EB64DDC6F7C}" sibTransId="{C33EA8DF-A826-4A2F-BAEE-C311DCD920A0}"/>
    <dgm:cxn modelId="{622F26EF-7A3C-45F2-BFC4-92894CD6A202}" type="presOf" srcId="{981CFF21-C45B-47E3-858E-3F46CF233919}" destId="{7E7B2FF9-F108-489E-A8A2-45A97F7CC0A2}" srcOrd="0" destOrd="0" presId="urn:microsoft.com/office/officeart/2005/8/layout/vList5"/>
    <dgm:cxn modelId="{D51E458A-22AB-4A9E-B3CD-1D9C26948592}" type="presParOf" srcId="{E6FC08BB-C022-48C5-ADA2-D20078EAC1AE}" destId="{757D7ED9-FAC1-4A69-8A02-6A4254AD41BE}" srcOrd="0" destOrd="0" presId="urn:microsoft.com/office/officeart/2005/8/layout/vList5"/>
    <dgm:cxn modelId="{52CC1A20-DE5C-4540-A448-89DE7BC55C0A}" type="presParOf" srcId="{757D7ED9-FAC1-4A69-8A02-6A4254AD41BE}" destId="{7E7B2FF9-F108-489E-A8A2-45A97F7CC0A2}" srcOrd="0" destOrd="0" presId="urn:microsoft.com/office/officeart/2005/8/layout/vList5"/>
    <dgm:cxn modelId="{34FBE75C-76D0-4448-BDAD-C6BD208392FC}" type="presParOf" srcId="{757D7ED9-FAC1-4A69-8A02-6A4254AD41BE}" destId="{A9216E0E-0D5D-4C33-9693-B80057DD453A}" srcOrd="1" destOrd="0" presId="urn:microsoft.com/office/officeart/2005/8/layout/vList5"/>
    <dgm:cxn modelId="{71159BC6-82F2-44E6-8201-ACF88E754F68}" type="presParOf" srcId="{E6FC08BB-C022-48C5-ADA2-D20078EAC1AE}" destId="{E33BD92F-3F5E-4604-A460-141DBD7D6A42}" srcOrd="1" destOrd="0" presId="urn:microsoft.com/office/officeart/2005/8/layout/vList5"/>
    <dgm:cxn modelId="{3D1150F0-2906-4055-A2D8-B07B7151233E}" type="presParOf" srcId="{E6FC08BB-C022-48C5-ADA2-D20078EAC1AE}" destId="{1764261D-0BE6-4684-B2ED-4C53D552E238}" srcOrd="2" destOrd="0" presId="urn:microsoft.com/office/officeart/2005/8/layout/vList5"/>
    <dgm:cxn modelId="{73BD4634-2110-4F12-A4F5-5AEE84DE37DE}" type="presParOf" srcId="{1764261D-0BE6-4684-B2ED-4C53D552E238}" destId="{ACB104B9-36C0-4F60-90D3-C16604DA952D}" srcOrd="0" destOrd="0" presId="urn:microsoft.com/office/officeart/2005/8/layout/vList5"/>
    <dgm:cxn modelId="{082D09E9-88B1-419F-9ED7-0DAE977B97F8}" type="presParOf" srcId="{1764261D-0BE6-4684-B2ED-4C53D552E238}" destId="{BA89E9B4-4CEA-4AE0-B469-76A55E7E5D22}" srcOrd="1" destOrd="0" presId="urn:microsoft.com/office/officeart/2005/8/layout/vList5"/>
    <dgm:cxn modelId="{96C75CCD-4973-4ACD-BAC6-4A34D1F3C3E7}" type="presParOf" srcId="{E6FC08BB-C022-48C5-ADA2-D20078EAC1AE}" destId="{2FBC34C3-2CEB-469F-AEBB-49AEEAEE83A5}" srcOrd="3" destOrd="0" presId="urn:microsoft.com/office/officeart/2005/8/layout/vList5"/>
    <dgm:cxn modelId="{E83FBA6F-81ED-44C7-91EC-7D1CCD4B3411}" type="presParOf" srcId="{E6FC08BB-C022-48C5-ADA2-D20078EAC1AE}" destId="{AD1F06DE-8C0C-41C3-AB97-E5B15D384DB7}" srcOrd="4" destOrd="0" presId="urn:microsoft.com/office/officeart/2005/8/layout/vList5"/>
    <dgm:cxn modelId="{94DB28B8-37E4-4836-9639-A35447D168E2}" type="presParOf" srcId="{AD1F06DE-8C0C-41C3-AB97-E5B15D384DB7}" destId="{A6484941-DDC8-4679-BBBA-F87DBC790B35}" srcOrd="0" destOrd="0" presId="urn:microsoft.com/office/officeart/2005/8/layout/vList5"/>
    <dgm:cxn modelId="{9CC693D8-18CE-4303-B7F2-1B322A3BAE36}" type="presParOf" srcId="{AD1F06DE-8C0C-41C3-AB97-E5B15D384DB7}" destId="{C4DA7438-0399-46B1-8169-34997BD3FFF5}" srcOrd="1" destOrd="0" presId="urn:microsoft.com/office/officeart/2005/8/layout/vList5"/>
  </dgm:cxnLst>
  <dgm:bg/>
  <dgm:whole/>
  <dgm:extLst>
    <a:ext uri="http://schemas.microsoft.com/office/drawing/2008/diagram">
      <dsp:dataModelExt xmlns:dsp="http://schemas.microsoft.com/office/drawing/2008/diagram" xmlns="" relId="rId39"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A9216E0E-0D5D-4C33-9693-B80057DD453A}">
      <dsp:nvSpPr>
        <dsp:cNvPr id="0" name=""/>
        <dsp:cNvSpPr/>
      </dsp:nvSpPr>
      <dsp:spPr>
        <a:xfrm rot="5400000">
          <a:off x="3783854" y="-1533227"/>
          <a:ext cx="631793" cy="3858589"/>
        </a:xfrm>
        <a:prstGeom prst="round2Same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s-ES" sz="1400" kern="1200"/>
            <a:t>PayPal</a:t>
          </a:r>
        </a:p>
        <a:p>
          <a:pPr marL="114300" lvl="1" indent="-114300" algn="l" defTabSz="622300">
            <a:lnSpc>
              <a:spcPct val="90000"/>
            </a:lnSpc>
            <a:spcBef>
              <a:spcPct val="0"/>
            </a:spcBef>
            <a:spcAft>
              <a:spcPct val="15000"/>
            </a:spcAft>
            <a:buChar char="••"/>
          </a:pPr>
          <a:r>
            <a:rPr lang="es-ES" sz="1400" kern="1200"/>
            <a:t>Neteller</a:t>
          </a:r>
        </a:p>
      </dsp:txBody>
      <dsp:txXfrm rot="5400000">
        <a:off x="3783854" y="-1533227"/>
        <a:ext cx="631793" cy="3858589"/>
      </dsp:txXfrm>
    </dsp:sp>
    <dsp:sp modelId="{7E7B2FF9-F108-489E-A8A2-45A97F7CC0A2}">
      <dsp:nvSpPr>
        <dsp:cNvPr id="0" name=""/>
        <dsp:cNvSpPr/>
      </dsp:nvSpPr>
      <dsp:spPr>
        <a:xfrm>
          <a:off x="0" y="1196"/>
          <a:ext cx="2170456" cy="789741"/>
        </a:xfrm>
        <a:prstGeom prst="round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s-ES" sz="1400" kern="1200"/>
            <a:t>Competencia</a:t>
          </a:r>
          <a:endParaRPr lang="es-ES" sz="2100" kern="1200"/>
        </a:p>
      </dsp:txBody>
      <dsp:txXfrm>
        <a:off x="0" y="1196"/>
        <a:ext cx="2170456" cy="789741"/>
      </dsp:txXfrm>
    </dsp:sp>
    <dsp:sp modelId="{BA89E9B4-4CEA-4AE0-B469-76A55E7E5D22}">
      <dsp:nvSpPr>
        <dsp:cNvPr id="0" name=""/>
        <dsp:cNvSpPr/>
      </dsp:nvSpPr>
      <dsp:spPr>
        <a:xfrm rot="5400000">
          <a:off x="3783854" y="-703998"/>
          <a:ext cx="631793" cy="3858589"/>
        </a:xfrm>
        <a:prstGeom prst="round2Same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s-ES" sz="1400" kern="1200"/>
            <a:t>Recibir pagos de muchos negocios por Internet (bolsa, forex, apuestas)</a:t>
          </a:r>
        </a:p>
        <a:p>
          <a:pPr marL="114300" lvl="1" indent="-114300" algn="l" defTabSz="622300">
            <a:lnSpc>
              <a:spcPct val="90000"/>
            </a:lnSpc>
            <a:spcBef>
              <a:spcPct val="0"/>
            </a:spcBef>
            <a:spcAft>
              <a:spcPct val="15000"/>
            </a:spcAft>
            <a:buChar char="••"/>
          </a:pPr>
          <a:r>
            <a:rPr lang="es-ES" sz="1400" kern="1200"/>
            <a:t>Máxima seguridad de navegación con sistema SSL y encriptación de 128 bits.</a:t>
          </a:r>
        </a:p>
      </dsp:txBody>
      <dsp:txXfrm rot="5400000">
        <a:off x="3783854" y="-703998"/>
        <a:ext cx="631793" cy="3858589"/>
      </dsp:txXfrm>
    </dsp:sp>
    <dsp:sp modelId="{ACB104B9-36C0-4F60-90D3-C16604DA952D}">
      <dsp:nvSpPr>
        <dsp:cNvPr id="0" name=""/>
        <dsp:cNvSpPr/>
      </dsp:nvSpPr>
      <dsp:spPr>
        <a:xfrm>
          <a:off x="0" y="830425"/>
          <a:ext cx="2170456" cy="789741"/>
        </a:xfrm>
        <a:prstGeom prst="round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s-ES" sz="1400" kern="1200"/>
            <a:t>Características</a:t>
          </a:r>
          <a:endParaRPr lang="es-ES" sz="2100" kern="1200"/>
        </a:p>
      </dsp:txBody>
      <dsp:txXfrm>
        <a:off x="0" y="830425"/>
        <a:ext cx="2170456" cy="789741"/>
      </dsp:txXfrm>
    </dsp:sp>
    <dsp:sp modelId="{C4DA7438-0399-46B1-8169-34997BD3FFF5}">
      <dsp:nvSpPr>
        <dsp:cNvPr id="0" name=""/>
        <dsp:cNvSpPr/>
      </dsp:nvSpPr>
      <dsp:spPr>
        <a:xfrm rot="5400000">
          <a:off x="3783854" y="125229"/>
          <a:ext cx="631793" cy="3858589"/>
        </a:xfrm>
        <a:prstGeom prst="round2Same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endParaRPr lang="es-ES" sz="1400" kern="1200"/>
        </a:p>
        <a:p>
          <a:pPr marL="114300" lvl="1" indent="-114300" algn="l" defTabSz="622300">
            <a:lnSpc>
              <a:spcPct val="90000"/>
            </a:lnSpc>
            <a:spcBef>
              <a:spcPct val="0"/>
            </a:spcBef>
            <a:spcAft>
              <a:spcPct val="15000"/>
            </a:spcAft>
            <a:buChar char="••"/>
          </a:pPr>
          <a:endParaRPr lang="es-ES" sz="1400" kern="1200"/>
        </a:p>
      </dsp:txBody>
      <dsp:txXfrm rot="5400000">
        <a:off x="3783854" y="125229"/>
        <a:ext cx="631793" cy="3858589"/>
      </dsp:txXfrm>
    </dsp:sp>
    <dsp:sp modelId="{A6484941-DDC8-4679-BBBA-F87DBC790B35}">
      <dsp:nvSpPr>
        <dsp:cNvPr id="0" name=""/>
        <dsp:cNvSpPr/>
      </dsp:nvSpPr>
      <dsp:spPr>
        <a:xfrm>
          <a:off x="0" y="1659653"/>
          <a:ext cx="2170456" cy="789741"/>
        </a:xfrm>
        <a:prstGeom prst="round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s-ES" sz="1400" kern="1200"/>
            <a:t>Diferenciación</a:t>
          </a:r>
          <a:endParaRPr lang="es-ES" sz="2100" kern="1200"/>
        </a:p>
      </dsp:txBody>
      <dsp:txXfrm>
        <a:off x="0" y="1659653"/>
        <a:ext cx="2170456" cy="789741"/>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2020-12-17T00:00:00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0DBC21-C823-4D9D-B028-4CFE27FD3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16</Pages>
  <Words>3433</Words>
  <Characters>18886</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Punto 2</vt:lpstr>
    </vt:vector>
  </TitlesOfParts>
  <Company>Ies miguel herrero</Company>
  <LinksUpToDate>false</LinksUpToDate>
  <CharactersWithSpaces>22275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Punto 2</dc:title>
  <dc:subject>Joseba Mantecón</dc:subject>
  <dc:creator>Daw2</dc:creator>
  <cp:keywords/>
  <dc:description/>
  <cp:lastModifiedBy>ACTITUD</cp:lastModifiedBy>
  <cp:revision>12</cp:revision>
  <dcterms:created xsi:type="dcterms:W3CDTF">2020-11-19T14:57:00Z</dcterms:created>
  <dcterms:modified xsi:type="dcterms:W3CDTF">2021-01-14T15:41:00Z</dcterms:modified>
</cp:coreProperties>
</file>