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(8ª rodada, incorporando os apontamentos do cliente — demanda pelo índice exato 2025, régua de frete integralmente medida, mercado-base de três municípios, memória de cálculo das obras/Guriri com horizonte de 14 anos, e agora o referencial de coeficientes rebaseado nas composições oficiais DER-ES/SINAPI).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>), mantém filial no município com CNAE de beneficiamento, sem atividade de extração associada. A operação de britagem mais próxima é a Mineração Usibrita, em Jaguaré (</w:t>
      </w:r>
      <w:r>
        <w:rPr>
          <w:b w:val="0"/>
          <w:i w:val="0"/>
          <w:color w:val="C00000"/>
        </w:rPr>
        <w:t>57,1 km da sede, medidos a partir da coordenada da cava</w:t>
      </w:r>
      <w:r>
        <w:rPr>
          <w:b w:val="0"/>
          <w:i w:val="0"/>
          <w:color w:val="000000"/>
        </w:rPr>
        <w:t xml:space="preserve">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o produtor mais próximo de São Mateus e serve de referência de preço na praça, mas nem nisso alcança a CIPREM — chega à sede de 57,1 km contra 40,7 km, R$ 14,9 por tonelada atrás no frete — e não tem escala para disputar volume.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dentro do próprio município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planejada de Guriri (11 avenidas e 31 ruas ao longo de ~8 km)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350 a 400 mil m² de vias — entre 256 e 374 mil toneladas de agregados, das quais 219 a 312 mil de produtos de britagem (banda composicional das tabelas oficiais DER-ES/SINAPI — memória de cálculo anexa), distribuídas ao longo de cerca de uma década pela própria lógica construtiva: pavimenta-se depois de drenar, bacia a bacia (a Bacia 2 conclui em 2028; a Bacia 1 corre por 1.620 dias contratuais; a Bacia 3 ainda será licitada). As projeções do empreendimento incorporam apenas a malha remanescente — 78 a 117 mil t de produtos de britagem, pouco mais de um terço do potencial de Guriri; os outros dois terços correspondem à malha das Bacias 1 e 2, já contada na camada de obras contratadas. O restante permanece como demanda adicional, real e já contratada em parte, não incorporada às projeções de receita. O balneário é, no fundo, demanda REPRIMIDA de pavimentação: ~144 logradouros oficiais cresceram sobre ruas de areia porque alagavam, e a macrodrenagem remove exatamente esse bloqueio. E a régua temporal fecha com a dívida: pelo SAC, a produção que quita as parcelas com folga (DSCR 1,3) cai de ~210 mil t/ano no pico (ano 3) para ~139 mil no ano 14, enquanto a captura recorrente sem nenhuma obra é de 165 a 185 mil t/ano — a memória de cálculo anexa (Memória de Cálculo — Obras e Guriri) demonstra, ano a ano, que as camadas extraordinárias são reforço da janela crítica, não condição de sobrevivência.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>, o único produtor é uma operação de pequena escala em Jaguaré (</w:t>
      </w:r>
      <w:r>
        <w:rPr>
          <w:b w:val="0"/>
          <w:i w:val="0"/>
          <w:color w:val="C00000"/>
        </w:rPr>
        <w:t>57,1 km da sede</w:t>
      </w:r>
      <w:r>
        <w:rPr>
          <w:b w:val="0"/>
          <w:i w:val="0"/>
          <w:color w:val="000000"/>
        </w:rPr>
        <w:t xml:space="preserve">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(8ª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Referencial de coeficientes rebaseado — e uma correção contra nós, dita sem rodeio. A pedido do cliente, cada coeficiente que converte obra em tonelada ganhou dossiê próprio (Anexo C da memória): fonte primária, status (oficial / setorial / premissa) e faixa mínima–máxima por tipo de obra. A verificação de fontes expôs um erro nosso: o fator de 1,4 t/m² usado para a pavimentação de Guriri era, na origem, o fator de EDIFICAÇÃO da tabela ANEPAC (1.360 t/1.000 m²), transplantado indevidamente — a linha setorial de pavimentação urbana (0,20–0,33 t/m²) cobre só recapeamento de pista simples. O fator foi substituído por uma banda derivada camada a camada das COMPOSIÇÕES OFICIAIS DER-ES/LABOR-UFES e SINAPI-ES (colchão de pó de 10 cm, blocos, base de BGS, meio-fio, sarjeta, calçada, drenagem): 0,73–0,94 t/m² de agregados, dos quais 0,63–0,78 t/m² de produtos de britagem. Efeito duplo e simétrico: os AGREGADOS TOTAIS de Guriri caem (490–560 → 256–374 mil t), mas os PRODUTOS DE BRITAGEM — o que a CIPREM vende — sobem (206–235 → 219–312 mil t na malha completa; 75–90 → 78–117 mil t no remanescente incorporado), porque em intertravado sobre areia praticamente todo agregado comprado é produto de pedreira, e a participação nacional de 42% subestimava isso. A reconstrução obra a obra pelas composições soma 723–951 mil t, coincidindo ponta a ponta com a faixa publicada de 700–950. O share incorporado segue em pouco mais de um terço (35,7%–37,5%), a camada estrutural do exhibit passa de 12–15 para 13–19 mil t/ano (anos 5–10), e a checagem ANEPAC do índice per capita foi precisada: a série regional traz 4,1 t/hab/ano para SUL E SUDESTE (não “Sudeste” isolado) — a demanda corrente, porém, nunca dependeu dela: vem do RAL/ANM. Nenhum outro número do pacote se move.</w:t>
      </w:r>
    </w:p>
    <w:p>
      <w:pPr>
        <w:spacing w:after="160"/>
      </w:pPr>
      <w:r>
        <w:rPr>
          <w:b w:val="0"/>
          <w:i w:val="0"/>
          <w:color w:val="C00000"/>
        </w:rPr>
        <w:t>Obras e Guriri — memória de cálculo anexa e duas correções de unidade. A pedido do cliente, cada frase conclusiva do parágrafo de obras foi decomposta em fonte, coeficiente e conta na Memória de Cálculo — Obras e Guriri, anexa ao pacote, com verificação por agente revisor independente. Duas correções decorrem dela, e ambas AUMENTAM os números: (1) o potencial da malha completa de Guriri usava 1,3 t/m² contra o fator declarado de 1,4 — corrigido de 450–520 para 490–560 mil t de agregados; (2) o “cerca de 15% a 20%” comparava a brita incorporada (75–90 mil t) com o potencial em agregados — unidades misturadas; na mesma unidade, as projeções incorporam pouco mais de um terço do potencial de brita de Guriri (75–90 de 206–235 mil t). Entram ainda dois fatos documentais novos: a Bacia 1 tem prazo contratual de 1.620 dias (~4,4 anos), e os bairros oficiais Guriri Norte e Guriri Sul somam ~144 logradouros com CEP, com numeração que alcança a Rua 48 e a Avenida 12ª — acima da premissa de grade (31 ruas/11 avenidas), o que indica que a estimativa de área é piso. O texto passa a explicitar o horizonte: pela lógica construtiva (pavimenta-se depois de drenar, bacia a bacia), a pavimentação se espalha por ~uma década; e o pareamento com a dívida (SAC) mostra a produção exigida CAINDO de ~210 para ~139 mil t/ano (DSCR 1,3) enquanto a captura recorrente sem obras é de 165–185 mil t/ano — as obras são reforço da janela crítica, não condição de sobrevivência. Segue pendente o inventário rua a rua medido: o protocolo de 17 medições está na planilha Levantamento_Guriri.xlsx, e o resultado substituirá a estimativa de grade (350–400 mil m²) quando preenchido.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</w:t>
      </w:r>
    </w:p>
    <w:p>
      <w:pPr>
        <w:spacing w:after="160"/>
      </w:pPr>
      <w:r>
        <w:rPr>
          <w:b w:val="0"/>
          <w:i w:val="0"/>
          <w:color w:val="C00000"/>
        </w:rPr>
        <w:t>Duas linhas que faltavam, fechadas nesta rodada. Primeira, a Usibrita: a coordenada da cava (-18,873416, -40,198803) situa-a a 57,1 km da sede de São Mateus, e não aos ~40 km que o estudo vinha estimando. A consequência precisa ser dita sem rodeio, porque corrige a própria revisão anterior: com a estimativa de 40 km, a 4ª rodada havia declarado empate técnico nessa linha (−R$ 0,6/t) e retirado do texto a vantagem de R$ 4,5/t que a versão original afirmava; a medição mostra que a vantagem existe e é maior que a original — R$ 14,9/t. A redação original acertou a direção pelo motivo errado, e a correção da rodada passada foi na direção oposta à realidade. Com isso não resta nenhuma linha de paridade contra concorrente em São Mateus: a CIPREM produz mais perto da praça que qualquer concorrente, de qualquer porte, com margem de 16,4 km sobre o mais próximo deles. A medição passa no teste de sanidade (linha reta de 39,8 km; razão 1,43) e corrobora, por triangulação, os ~8 km entre a Usibrita e a sede de Jaguaré, de modo que a linha de Jaguaré (−R$ 28,8/t) fica confirmada. Segunda, o corredor: o distrito-sede de Nestor Gomes foi medido a 12,3 km da jazida, e a vantagem derivada dos trechos medidos (R$ 31,7/t) confirma os R$ 31,9/t antes publicados. O que distingue o corredor, porém, não é vantagem maior — é a mesma da sede — e sim o custo próprio de servi-lo: R$ 11,2/t de frete contra R$ 37,0/t até a sede. Restam apenas refinos que não tocam o argumento: o pino exato da boca da lavra e a poligonal ANM no SIGMINE.</w:t>
      </w:r>
    </w:p>
    <w:p>
      <w:pPr>
        <w:spacing w:after="160"/>
      </w:pPr>
      <w:r>
        <w:rPr>
          <w:b w:val="0"/>
          <w:i w:val="0"/>
          <w:color w:val="C00000"/>
        </w:rPr>
        <w:t>Linha do corredor de Nestor Gomes suprimida da régua de frete (a supressão não aparece em vermelho no corpo). O ponto foi levantado na revisão do cliente: Nestor Gomes é distrito de São Mateus, e a população do município — que já inclui os moradores do distrito — entra uma única vez na conta de demanda; a linha não estaria contando duas vezes a mesma coisa? Nos valores, não havia dupla contagem, e isso foi verificado nos três pontos onde poderia haver: a linha do corredor não carregava população (a coluna trazia “proximidade imediata”, enquanto a de São Mateus traz 134,4 mil hab); a demanda do item 6 aplica o índice a São Mateus uma vez só, sobre 134.423 hab; e os pesos de captura do item 8 aplicam um único percentual de 65% ao conjunto “sede, Guriri e corredor”. Nenhuma tonelada era contada duas vezes. A linha saiu, ainda assim, por três razões somadas: numa tabela em que cada linha é uma praça de mercado, uma linha que não é praça se lê como erro; com Nestor Gomes medido em 12,3 km, a vantagem derivada (R$ 31,7/t) saiu idêntica à da própria sede, de modo que a linha não trazia número novo; e a distância do concorrente até o distrito era a única da régua obtida por derivação geométrica, e não por medição — de sorte que a igualdade com a sede era consequência aritmética da própria derivação, não achado independente. Retirada a linha, a régua passa a repousar inteiramente em distâncias medidas ponta a ponta. O único fato genuíno e medido do corredor foi preservado no item 8 do Estudo, onde pertence: entregar junto à cava custa R$ 11,2/t de frete contra R$ 37,0/t até a sede — gradiente de margem dentro de um mercado já contado, que orienta prioridade comercial sem constituir mercado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