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color w:val="000000"/>
        </w:rPr>
        <w:t>Essas frentes adicionam 70–100 mil t/ano de demanda extraordinária de brita durante a janela de obras — e destravam um potencial estrutural maior: a malha planejada de Guriri (11 avenidas e 31 ruas ao longo de ~8 km</w:t>
      </w:r>
      <w:r>
        <w:rPr>
          <w:color w:val="C00000"/>
        </w:rPr>
        <w:t>; ~144 logradouros oficiais nos bairros Guriri Norte e Guriri Sul</w:t>
      </w:r>
      <w:r>
        <w:rPr>
          <w:color w:val="000000"/>
        </w:rPr>
        <w:t xml:space="preserve">) permanece majoritariamente sem pavimentação definitiva, e sua pavimentação completa, viabilizada justamente pela macrodrenagem em curso, é dimensionada no Estudo anexo em 350 a 400 mil m² de pavimento — </w:t>
      </w:r>
      <w:r>
        <w:rPr>
          <w:color w:val="C00000"/>
        </w:rPr>
        <w:t xml:space="preserve">256 a 374 mil toneladas de agregados, das quais 219 a 312 mil de produtos de britagem (banda composicional das tabelas oficiais DER-ES/SINAPI — memória anexa), espalhadas por cerca de uma década pela própria lógica construtiva: pavimenta-se depois de drenar, bacia a bacia (Bacia 2 até 2028; Bacia 1 por 1.620 dias contratuais; Bacia 3 a licitar) </w:t>
      </w:r>
      <w:r>
        <w:rPr>
          <w:color w:val="000000"/>
        </w:rPr>
        <w:t xml:space="preserve">—, das quais as projeções contabilizam, conservadoramente, apenas </w:t>
      </w:r>
      <w:r>
        <w:rPr>
          <w:color w:val="C00000"/>
        </w:rPr>
        <w:t>a pavimentação remanescente: 78 a 117 mil t de produtos de britagem, pouco mais de um terço do potencial. O pareamento com a dívida fecha o horizonte de 14 anos (memória de cálculo anexa): pelo SAC, a produção que quita as parcelas com folga (DSCR 1,3) cai de ~210 mil t/ano no pico (ano 3) para ~139 mil no ano 14, e a captura recorrente sem nenhuma obra é de 165 a 185 mil t/ano — as camadas extraordinárias reforçam a janela crítica; não são condição de sobrevivência</w:t>
      </w:r>
      <w:r>
        <w:rPr>
          <w:color w:val="000000"/>
        </w:rPr>
        <w:t>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— 90% do teto licenciado e 40% da capacidade instalada da planta — representa 41 a 56%, e não os 80 a 91% que a leitura restrita ao mercado-base sugeriria. Pela via de baixo para cima, aplicando pesos de penetração praça a praça, a captura resulta em 207 a 245 mil t/ano, faixa na qual o platô se posiciona a 81%;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 número anterior contradizia o próprio Estudo de Mercado anexo, que dimensiona a malha principal do balneário em 350–400 mil m². As toneladas contabilizadas nas projeções passam a 78–117 mil t de produtos de britagem (banda composicional oficial; a faixa anterior, 75–90, fica no piso).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(421–577 mil t/ano): 41–56%,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