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é deliberadamente conservador: restringe-se a São Mateus e Conceição da Barra (~163 mil habitantes — IBGE, estimativas 2025), municípios onde não há nenhum produtor de brita instalado. A demanda corrente nesse mercado-base é estimada entre 238 e 278 mil t/ano: na sede (215–230 mil t/ano), pelo consumo efetivo de brita no Espírito Santo apurado nas vendas declaradas à ANM (RAL), de 1,6–1,7 t/hab/ano em 2024–2025, convergente com o parâmetro setorial da ANEPAC; em Conceição da Barra, aplicada, por conservadorismo, metade do índice estadual. As praças vizinhas de Jaguaré e Boa Esperança (~46 mil habitantes; 36–78 mil t/ano) foram mantidas fora da linha de base — a primeira por ter um pequeno produtor instalado, a segunda por gravitar comercialmente para Nova Venécia — e permanecem, com Pedro Canário e a franja norte do Estado (Montanha, Mucurici e Ponto Belo, ~53 mil habitantes sem nenhum produtor de brita instalado), como potencial adicional de captura, não contado nas projeções.</w:t>
      </w:r>
      <w:proofErr w:type="spellStart"/>
      <w:r>
        <w:rPr>
          <w:color w:val="C00000"/>
        </w:rPr>
      </w:r>
      <w:proofErr w:type="spellEnd"/>
      <w:r>
        <w:rPr>
          <w:color w:val="C00000"/>
        </w:rPr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(~70 km), e a operação mais próxima, de pequena escala (~5 mil t em 2025 pela base de arrecadação da CFEM — ANM, granito/ES), fica em Jaguaré (~40 km da sede), fora do mercado-base. Cabe distinguir duas funções que os documentos anteriores tratavam como uma só: essa operação de Jaguaré é concorrente de preço — está 5 km mais longe da sede que a CIPREM, margem de R$ 4,5/t — mas vendeu menos de um quinto da demanda do próprio município onde se instala, e não tem escala para disputar volume. Quem limita volume é a pedreira de Nova Venécia, a ~62 km, contra a qual a vantagem de frete da CIPREM é de R$ 24,6 por tonelada — da ordem de um quarto do preço posto na obra. Os demais produtores de porte operam mais longe ainda: o maior da região a ~100 km (unidade em Rio Bananal, ~360 mil t/ano) e parte do suprimento vindo do eixo Linhares–Aracruz (85–140 km). A jazida da CIPREM está a ~35 km da sede de São Mateus, e o corredor de Nestor Gomes que a serve fica a 10 km ou menos, onde a vantagem chega a R$ 31,9/t: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t>Em síntese: sob a definição mais conservadora de mercado — linha de base restrita a São Mateus e Conceição da Barra —, a demanda corrente de 238 a 278 mil t/ano já supera o platô do projeto. A leitura correta da participação, porém, não é contra essa linha de base e sim contra o mercado efetivamente endereçável, que soma às duas praças-base as praças disputadas de Jaguaré e Boa Esperança (36–78 mil t/ano), as praças alcançáveis por entrega própria em Nova Venécia e Pinheiros (62–131 mil t/ano) e as obras públicas catalogadas (70–100 mil t/ano): 406 a 586 mil t/ano. Contra essa base, o platô de 237.516 t/ano representa 40 a 58% — participação compatível com um entrante que é o único produtor instalado no seu mercado-base. Pela via de baixo para cima, aplicando pesos de penetração praça a praça — 65% em São Mateus, 25% em Conceição da Barra, 20% em Jaguaré, 15% em Boa Esperança, 10% nas praças-sede de concorrente e 60% nas obras públicas —, a captura resulta em 200 a 248 mil t/ano, faixa na qual o platô se posiciona a 79%. Registre-se com clareza a condição dessa conta: a sede sozinha não sustenta o platô, e a diferença vem das praças vizinhas, onde a CIPREM perde no frete FOB e só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60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