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(2ª rodada, incorporando os apontamentos do cliente).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 xml:space="preserve"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 e Conceição da Barra, que somam </w:t>
      </w:r>
      <w:r>
        <w:rPr>
          <w:b w:val="0"/>
          <w:i w:val="0"/>
          <w:color w:val="C00000"/>
        </w:rPr>
        <w:t>163.346 habitantes (IBGE, estimativas 2025)</w:t>
      </w:r>
      <w:r>
        <w:rPr>
          <w:b w:val="0"/>
          <w:i w:val="0"/>
          <w:color w:val="000000"/>
        </w:rPr>
        <w:t>, os dois municípios em que a varredura de concorrência não identificou nenhum produtor de brita instalado.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entre 238 e 278 mil toneladas/ano</w:t>
      </w:r>
      <w:r>
        <w:rPr>
          <w:b w:val="0"/>
          <w:i w:val="0"/>
          <w:color w:val="000000"/>
        </w:rPr>
        <w:t>. A estimativa parte de um índice de consumo aparente de brita no Espírito Santo de 1,66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>, cuja banda anual varia de 1,6 a 1,7 t/hab/ano entre os exercícios 2024–2025. O piso da faixa aplica 1,6 t/hab à sede e metade do índice a Conceição da Barra, município de perfil rural-litorâneo; o teto aplica 1,7 t/hab a toda a base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As praças vizinhas de Jaguaré e Boa Esperança (~46 mil habitantes; 36–78 mil t/ano pela mesma métrica) foram mantidas fora da linha de base — a primeira por ter produtor instalado, a segunda por </w:t>
      </w:r>
      <w:r>
        <w:rPr>
          <w:b w:val="0"/>
          <w:i w:val="0"/>
          <w:color w:val="C00000"/>
        </w:rPr>
        <w:t xml:space="preserve">desvantagem de frete frente à pedreira de Nova Venécia (MCL), que está a ~26 km da praça contra ~34 km da jazida da CIPREM. Mantê-las fora da linha de base não significa venda zero: essas praças recebem pesos de captura menores na conta de mercado — Jaguaré, 20% (5 a 11 mil t/ano); Boa Esperança, 15%. Em Jaguaré, em particular, o produtor instalado vendeu cerca de 5 mil t em 2025 — menos de um quinto da demanda do próprio município —, de modo que a maior parte do consumo local já é suprida de fora; para essa parcela, a CIPREM disputa com supridores mais distantes, e não com o incumbente. A ligação pela ES-356, que conecta Nestor Gomes (ES-381) diretamente à ES-430 em Jaguaré, encurta o acesso frente à rota consolidada de ~40 km — a linha reta é da ordem de 20 km; a roteirização final aguarda a coordenada da boca da jazida.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 xml:space="preserve">A oferta instalada confirma a lacuna: 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concorrente de preço — está apenas 5 km mais longe da sede que a CIPREM, margem de R$ 4,5 por tonelada —, mas não tem escala para disputar volume; quem limita volume é a MCL, em Nova Venécia, a ~62 km, contra a qual a vantagem de frete da CIPREM é de R$ 24,6 por tonelada — da ordem de um quarto do preço posto na obra. </w:t>
      </w:r>
      <w:r>
        <w:rPr>
          <w:b w:val="0"/>
          <w:i w:val="0"/>
          <w:color w:val="000000"/>
        </w:rPr>
        <w:t>Os produtores de porte operam a partir de ~65 km — Nova Venécia e Pinheiros — e o maior deles a cerca de 100 km, em Rio Bananal, com parte do suprimento vindo do eixo Linhares–Aracruz (85–140 km). A jazida da CIPREM está a ~35 km da sede</w:t>
      </w:r>
      <w:r>
        <w:rPr>
          <w:b w:val="0"/>
          <w:i w:val="0"/>
          <w:color w:val="C00000"/>
        </w:rPr>
        <w:t>, e o corredor de Nestor Gomes que a serve fica a 10 km ou menos, onde a vantagem de frete alcança R$ 31,9 por tonelada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450 e 520 mil toneladas de agregados ao longo dos próximos anos. As projeções do empreendimento incorporam 75 a 90 mil t desse potencial, cerca de 15% a 20%; o restante permanece como demanda adicional, real e já contratada em parte, não incorporada às projeções de receita.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(~70 km)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 xml:space="preserve">, o único produtor é uma operação de pequena escala em Jaguaré (~40 km da sede),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60–70 km (Nova Venécia e Pinheiros). A jazida da CIPREM está a ~35 km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406 a 586 mil t/ano. Essa soma reúne: a demanda corrente do mercado-base (238 a 278 mil t/ano), as praças disputadas de Jaguaré e Boa Esperança (36 a 78 mil t/ano), as praças alcançáveis por entrega própria em Nova Venécia e Pinheiros (62 a 131 mil t/ano) e as obras públicas catalogadas (70 a 100 mil t/ano). Contra essa base, o platô de produção do projeto — 237.516 t/ano, 90% do teto licenciado, alcançado a partir do 3º ano de operação — representa 40% a 58%: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20% em Jaguaré (5 a 11 mil t/ano), 15% em Boa Esperança, 10% nas praças-sede de concorrente e 60% nas obras públicas —, a captura resulta em 200 a 248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(2ª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(−R$ 29,1/t) e Boa Esperança (−R$ 7,3/t) como praças de desvantagem; a linha FONTE duplicada saiu junto. (2) “a ~25 km de Boa Esperança” — refutado pelo teste rodovia ≥ linha reta.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era o índice pleno nos dois municípios, contradizendo o método declarado; a faixa correta com a população confirmada é 238–278 mil t/ano.</w:t>
      </w:r>
    </w:p>
    <w:p>
      <w:pPr>
        <w:spacing w:after="160"/>
      </w:pPr>
      <w:r>
        <w:rPr>
          <w:b w:val="0"/>
          <w:i w:val="0"/>
          <w:color w:val="C00000"/>
        </w:rPr>
        <w:t>População: adotados 163.346 hab (São Mateus 134.423 + Conceição da Barra 28.923 — IBGE, estimativas 2025), conforme confirmação do cliente. O ambiente desta revisão não acessa ibge.gov.br: anexar ao dossiê o print do painel IBGE Cidades de Conceição da Barra. Todas as faixas foram recalculadas (mercado-base 238–278; endereçável 406–586; participação 40–58%) e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Verificação de Jaguaré (pedido do cliente): os ~40 km da régua são distância rodoviária (roteirização da rodada anterior), não linha reta. A suspeita do cliente sobre a estrada nova se confirmou em fonte pública: a ES-356 liga Nestor Gomes (ES-381) à ES-430 em Jaguaré, e o DER-ES estuda ligação de ~14 km da ES-356 à BR-101 como contorno de Jaguaré. A linha reta km 35 → Jaguaré é da ordem de 20 km (coordenadas estimadas), o que torna plausível rota rodoviária de ~25–35 km pela ES-356 — a confirmar por roteirização quando houver a coordenada da boca da jazida. O peso de captura de Jaguaré foi mantido em 20%; com a rota curta confirmada, há fundamento para elevá-lo.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