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São Mateus é o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município-polo e o mais populoso da Microrregião Nordeste do Espírito Santo (regionalização estadual da Lei nº 9.768/2011)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com 134,4 mil habitantes — IBGE, estimativa 2025; 8º do Estado — e polo regional de comércio e serviços.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O setor tem natureza essencialmente local: pelo baixo valor por tonelada, o raio econômico de comercialização raramente ultrapassa algumas dezenas de quilômetros, e excepcionalmente 150 km entre a fonte e o consumidor. Por isso, 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mercado-base do empreendimento — definido pelo raio econômico do frete e pela posição real dos concorrentes </w:t>
      </w:r>
      <w:r>
        <w:rPr>
          <w:rFonts w:ascii="Calibri" w:cs="Calibri" w:eastAsia="Calibri" w:hAnsi="Calibri"/>
          <w:color w:val="C00000"/>
          <w:sz w:val="22"/>
          <w:szCs w:val="22"/>
        </w:rPr>
        <w:t>— foi delimitado de forma deliberadamente conservadora: restringe-se a São Mateus e Conceição da Barra, que somam 163.346 habitantes (IBGE, estimativas 2025), os dois municípios em que a varredura de concorrência não identificou nenhum produtor de brita instalado.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 demanda corrente nesse mercado-base é estimada </w:t>
      </w:r>
      <w:r>
        <w:rPr>
          <w:rFonts w:ascii="Calibri" w:cs="Calibri" w:eastAsia="Calibri" w:hAnsi="Calibri"/>
          <w:color w:val="C00000"/>
          <w:sz w:val="22"/>
          <w:szCs w:val="22"/>
        </w:rPr>
        <w:t>entre 238 e 278 mil toneladas/ano. A estimativa parte de um índice de consumo aparente de brita no Espírito Santo de 1,6 a 1,7 t/hab/ano — elaboração própria a partir das vendas declaradas à ANM no Relatório Anual de Lavra (RAL), convergente com o parâmetro setorial da ANEPAC para o Sudeste —, aplicado integralmente à sede (215–230 mil t/ano) e, por conservadorismo, pela metade em Conceição da Barra, município de perfil rural-litorâneo.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As praças vizinhas de Jaguaré e Boa Esperança (~46 mil habitantes; 36–78 mil t/ano pela mesma métrica) foram mantidas fora da linha de base — a primeira por ter produtor instalado, a segunda por gravitar comercialmente para Nova Venécia — e permanecem, ao lado de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Pedro Canário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 xml:space="preserve">A oferta instalada confirma a lacuna: </w:t>
      </w:r>
      <w:r>
        <w:rPr>
          <w:color w:val="C00000"/>
        </w:rPr>
        <w:t xml:space="preserve">a varredura município a município realizada em agosto de 2026 — em bases públicas de CNPJ, cadastros da ANM e fontes indexadas — não identificou nenhuma pedreira de britagem em atividade em São Mateus ou em Conceição da Barra. Em São Mateus, a presença concorrente é de natureza logístico-comercial: a Pedreira Mattar, sediada em Pinheiros (~70 km), mantém filial no município com CNAE de beneficiamento, sem atividade de extração associada — a extração, naquele município, corre pela Mattar Empreendimentos Minerários. A operação de britagem mais próxima é a Mineração Usibrita, em Jaguaré (~40 km da sede), ainda em escala reduzida e situada fora do mercado-base. </w:t>
      </w:r>
      <w:r>
        <w:rPr>
          <w:color w:val="C00000"/>
        </w:rPr>
        <w:t xml:space="preserve">Cabe distinguir duas funções que a redação anterior tratava como uma só: a Usibrita é concorrente de preço — está 5 km mais longe da sede que a CIPREM, margem de R$ 4,5/t —, mas vendeu ~5 mil t em 2025, menos de um quinto da demanda do próprio município onde se instala, e não tem escala para disputar volume. Quem limita volume é a MCL, em Nova Venécia, a ~62 km, contra a qual a vantagem de frete da CIPREM é de R$ 24,6 por tonelada — da ordem de um quarto do preço posto na obra. </w:t>
      </w:r>
      <w:r>
        <w:rPr>
          <w:color w:val="C00000"/>
        </w:rPr>
        <w:t>Os produtores de porte operam a partir de ~65 km — Nova Venécia e Pinheiros — e o maior deles a cerca de 100 km, em Rio Bananal</w:t>
      </w:r>
      <w:r>
        <w:rPr>
          <w:color w:val="000000"/>
        </w:rPr>
        <w:t xml:space="preserve">, com parte do suprimento vindo do eixo Linhares–Aracruz (85–140 km). A jazida da CIPREM está a ~35 km da sede de São Mateus, e o corredor de Nestor Gomes que a serve fica a </w:t>
      </w:r>
      <w:r>
        <w:rPr>
          <w:color w:val="C00000"/>
        </w:rPr>
        <w:t>10 km ou menos, onde a vantagem de frete alcança R$ 31,9/t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Essas frentes adicionam 70–100 mil t/ano de demanda extraordinária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é dimensionada no Estudo anexo em 350 a 400 mil m² de pavimento — da ordem de 500 mil toneladas de agregados ao longo dos próximos anos —, das quais as projeções contabilizam, conservadoramente, apenas 75 a 90 mil t de brita da pavimentação remanescente.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 xml:space="preserve">Em síntese, </w:t>
      </w:r>
      <w:r>
        <w:rPr>
          <w:color w:val="C00000"/>
        </w:rPr>
        <w:t xml:space="preserve">sob a definição mais conservadora de mercado — linha de base restrita a São Mateus e Conceição da Barra —, a demanda corrente de 238 a 278 mil t/ano já supera o platô do projeto. A leitura correta da participação, porém, não é contra essa linha de base e sim contra o mercado efetivamente endereçável, que soma às duas praças-base as praças disputadas de Jaguaré e Boa Esperança (36–78 mil t/ano), as praças alcançáveis por entrega própria em Nova Venécia e Pinheiros (62–131 mil t/ano) e as obras públicas catalogadas (70–100 mil t/ano): 406 a 586 mil t/ano. Contra essa base, o platô de 237.516 t/ano — 90% do teto licenciado e 40% da capacidade instalada da planta — representa 40 a 58%, e não os 78 a 91% que a leitura restrita ao mercado-base sugeria. Pela via de baixo para cima, aplicando pesos de penetração praça a praça, a captura resulta em 200 a 248 mil t/ano, faixa na qual o platô se posiciona a 79%; a condição dessa conta deve ser dita com clareza: a sede sozinha não sustenta o platô, e a diferença vem das praças vizinhas, onde a CIPREM perde no frete FOB e só entra entregando com frota própria. </w:t>
      </w:r>
      <w:r>
        <w:rPr>
          <w:color w:val="000000"/>
        </w:rPr>
        <w:t xml:space="preserve">Às obras cabe ainda outro papel: coincidem com a carência e o ramp-up (anos 1–2, vendas de 63 a 126 mil t/ano), absorvendo a produção inicial justamente no período de maturação comercial. </w:t>
      </w:r>
      <w:r>
        <w:rPr>
          <w:color w:val="C00000"/>
        </w:rPr>
        <w:t>Mercado estruturalmente deficitário — sem produtor instalado na base, com o grosso do suprimento viajando de 60 a 140 km —</w:t>
      </w:r>
      <w:r>
        <w:rPr>
          <w:color w:val="000000"/>
        </w:rPr>
        <w:t>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Retirados do corpo da carta o cálculo "6.888.010,58 t ÷ 4.126.854 hab", o valor pontual de 1,66 t/hab/ano e o endereço do painel Power BI.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valor pontual não é publicado em nenhuma fonte localizável e a própria divisão resulta em 1,67, não 1,66. A carta passa a citar a faixa 1,6–1,7 t/hab/ano, declarada como estimativa própria; a metodologia fica no Estudo anexo, que é o lugar dela.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Substituídas pela faixa única de 238–278 mil t/ano do mercado-base de dois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texto anterior trazia três números divergentes para a mesma grandeza (220, 285 e 275–350 mil t/ano). A faixa nova é a do Estudo anexo e decorre do recorte conservador de São Mateus + Conceição da Barra.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Reduzido ao mercado-base de São Mateus e Conceição da Barra (163.346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Jaguaré tem produtor instalado e Boa Esperança gravita para Nova Venécia. Mantê-los na base inflaria a demanda com praças disputadas; eles passam a figurar como captura adicional, fora das projeções.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Guriri: "1 milhão de m² de vias e mais de 1 milhão de toneladas"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Ajustado para 350 a 400 mil m² e da ordem de 500 mil toneladas de agregados.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número anterior contradizia o próprio Estudo de Mercado anexo, que dimensiona a malha principal do balneário em 350–400 mil m². As 75–90 mil t contabilizadas nas projeções permanecem inalteradas.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Lida contra o mercado endereçável (406–586 mil t/ano): 40–58%, em vez dos 78–91% da linha de base.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78–91%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Usibrita ancora preço (R$ 4,5/t, sem escala); MCL define volume (R$ 24,6/t de vantagem para a CIPREM).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