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350–400 mil m² de vias — 490–560 mil t de agregados, 206–235 mil t de brita — espalhados por cerca de uma década pela própria lógica construtiva (pavimenta-se depois de drenar, bacia a bacia; a Bacia 1 corre por 1.620 dias), das quais as projeções contabilizam, conservadoramente, apenas a brita do remanescente: 75–90 mil t, cerca de um terço do potencial.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