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em malha planejada (avenidas e ruas numeradas, com avenidas até a 11ª e ruas até a 31ª), com cerca de 8 km de extensão norte-sul, historicamente com vias precárias e sujeitas a alagamento — os bairros oficiais Guriri Norte e Guriri Sul somam ~144 logradouros com CEP (69–70 + 74), com numeração que alcança a Rua 48 e a Avenida 12ª — acima da premissa de grade, o que indica que a estimativa de área abaixo é piso. O plano-mestre de macrodrenagem e pavimentação, dividido em três bacias, equivale, na prática, à pavimentação de toda a malha principal do balneário — estimada em ~40 a 48 km de vias / 350 a 400 mil m² de pavimento, ancorada nas quantidades já contratadas (Bacia 1: 13,5 km e ~125 mil m², ou seja, 9,26 m de largura média por metro linear; Bacia 2: até 10,6 km de galerias). Em toneladas, a malha completa representa 490 a 560 mil t de agregados (fator ANEPAC de 1,4 t/m²), das quais 206 a 235 mil t de brita.</w:t>
      </w:r>
    </w:p>
    <w:p>
      <w:pPr>
        <w:spacing w:after="140" w:line="276"/>
        <w:jc w:val="both"/>
      </w:pPr>
      <w:r>
        <w:rPr>
          <w:b w:val="0"/>
        </w:rPr>
        <w:t>As Bacias 1 e 2 já endereçam algo como 22 a 30 km de vias — malha cuja brita já está contada na camada de obras do item 6.3. Restam, para os próximos anos, a Bacia 3 e as ruas fora das bacias — estimadas em ~15 a 20 km / 125 a 150 mil m², o que representa de 75 a 90 mil toneladas de BRITA de demanda potencial só na pavimentação remanescente de Guriri: é essa a parcela que as projeções incorporam, cerca de um terço do potencial de brita do balneário. O ritmo é ditado pela lógica construtiva — pavimenta-se depois de drenar, bacia a bacia (Bacia 2 até 2028; Bacia 1 por 1.620 dias contratuais; Bacia 3 a licitar) —, o que espalha essa demanda pelos anos 5 a 10 do projeto (~12 a 15 mil t/ano) em vez de esgotá-la na janela inicial.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da malha completa de Guriri — 490–560 mil t de agregados; 206–235 mil t de brita —, do qual as projeções incorporam apenas a brita do remanescente (75–90 mil t, cerca de um terço);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