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 (~40 km da sede), fora do mercado-base. Cabe distinguir duas funções que os documentos anteriores tratavam como uma só: essa operação de Jaguaré é concorrente de preço — chega à sede praticamente da mesma distância que a CIPREM, ancorando o preço da praça — mas vendeu menos de um quinto da demanda do próprio município onde se instala, e não tem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e o corredor de Nestor Gomes que a serve fica a 10 km ou menos, onde a vantagem chega a R$ 31,9/t: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