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(4ª rodada, incorporando os apontamentos do cliente — demanda pelo índice exato 2025, régua de frete remedida a partir da coordenada do PAE e mercado-base revisto para três municípios).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), mantém filial no município com CNAE de beneficiamento, sem atividade de extração associada. A operação de britagem mais próxima é a Mineração Usibrita, em Jaguaré (~40 km da sede),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concorrente de preço — chega à sede praticamente da mesma distância que a CIPREM, de modo que ancora o preço da praça —, mas não tem escala para disputar volume;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e o corredor de Nestor Gomes que a serve fica a 10 km ou menos, onde a vantagem de frete alcança R$ 31,9 por tonelada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450 e 520 mil toneladas de agregados ao longo dos próximos anos. As projeções do empreendimento incorporam 75 a 90 mil t desse potencial, cerca de 15% a 20%; o restante permanece como demanda adicional, real e já contratada em parte, não incorporada às projeções de receita.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 xml:space="preserve">, o único produtor é uma operação de pequena escala em Jaguaré (~40 km da sede),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(4ª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 Pendências: a distância da Usibrita a São Mateus, ainda estimada em ~40 km; a distância ao distrito-sede de Nestor Gomes (~10 km); o pino exato da boca da lavra e a poligonal ANM no SIGMINE.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