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JUSTIFICATIVA DO EMPREENDIMENTO</w:t>
      </w:r>
    </w:p>
    <w:p>
      <w:pPr>
        <w:pBdr>
          <w:bottom w:val="single" w:color="BFBFBF" w:sz="6" w:space="8"/>
        </w:pBdr>
        <w:spacing w:after="300"/>
      </w:pPr>
      <w:r>
        <w:rPr>
          <w:color w:val="000000"/>
        </w:rPr>
        <w:t>Em vermelho, os trechos alterados nesta revisão — por correção de dado verificado em fonte pública, por ajuste ao mercado-base conservador do Estudo de Mercado anexo ou, nesta segunda rodada (agosto/2026), pela adoção do platô de 237.516 t/ano e pela leitura da participação contra o mercado endereçável. Em preto, o texto mantido. A nota ao final relaciona o que foi suprimido e por quê.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color w:val="C00000"/>
          <w:sz w:val="22"/>
          <w:szCs w:val="22"/>
        </w:rPr>
        <w:t xml:space="preserve">Os fundamentos mercadológicos do empreendimento estão detalhados no Estudo de Mercado anexo (Projet Consultoria, junho de 2026, atualizado em agosto de 2026), cujos principais resultados são resumidos a seguir.</w:t>
      </w:r>
    </w:p>
    <w:p>
      <w:pPr>
        <w:spacing w:after="180" w:line="276"/>
        <w:jc w:val="both"/>
      </w:pPr>
      <w:r>
        <w:rPr>
          <w:color w:val="000000"/>
        </w:rPr>
        <w:t xml:space="preserve">São Mateus é o município-polo e o mais populoso da Microrregião Nordeste do Espírito Santo (regionalização estadual da Lei nº 9.768/2011), com 134,4 mil habitantes — IBGE, estimativa 2025; 8º do Estado — e polo regional de comércio e serviços. O setor tem natureza essencialmente local: pelo baixo valor por tonelada, o raio econômico de comercialização raramente ultrapassa algumas dezenas de quilômetros, e excepcionalmente 150 km entre a fonte e o consumidor. Por isso, o mercado-base do empreendimento — definido pelo raio econômico do frete e pela posição real dos concorrentes — foi delimitado por dois critérios cumulativos: </w:t>
      </w:r>
      <w:r>
        <w:rPr>
          <w:color w:val="C00000"/>
        </w:rPr>
        <w:t>ausência de produtor de brita instalado e posição dentro do raio econômico do frete. Satisfazem ambos São Mateus, Conceição da Barra e Boa Esperança, que somam 177.400 habitantes (IBGE, estimativas 2025).</w:t>
      </w:r>
    </w:p>
    <w:p>
      <w:pPr>
        <w:spacing w:after="180" w:line="276"/>
        <w:jc w:val="both"/>
      </w:pPr>
      <w:r>
        <w:rPr>
          <w:color w:val="000000"/>
        </w:rPr>
        <w:t xml:space="preserve">A demanda corrente nesse mercado-base é estimada </w:t>
      </w:r>
      <w:r>
        <w:rPr>
          <w:color w:val="C00000"/>
        </w:rPr>
        <w:t xml:space="preserve">em cerca de 296 mil toneladas/ano. A estimativa aplica diretamente à população da área (177.400 hab — São Mateus, Conceição da Barra e Boa Esperança) o índice de consumo aparente de brita no Espírito Santo — 1,669 t/hab/ano, resultado exato de 6.888.010,58 t ÷ 4.126.854 hab, consumo e população do mesmo ano de 2025 — </w:t>
      </w:r>
      <w:r>
        <w:rPr>
          <w:color w:val="000000"/>
        </w:rPr>
        <w:t>elaboração própria a partir das vendas declaradas à ANM no Relatório Anual de Lavra (RAL), convergente com o parâmetro setorial da ANEPAC para o Sudeste</w:t>
      </w:r>
      <w:r>
        <w:rPr>
          <w:color w:val="C00000"/>
        </w:rPr>
        <w:t>. Piso de robustez: aplicando metade do índice a Conceição da Barra e a Boa Esperança, municípios de perfil rural-litorâneo, a estimativa recua a ~260 mil t/ano — ainda acima do platô do projeto</w:t>
      </w:r>
      <w:r>
        <w:rPr>
          <w:color w:val="000000"/>
        </w:rPr>
        <w:t>. Trata-se de estimativa de ordem de grandeza, e não de número contábil: a memória de cálculo e as premissas constam do Estudo anexo. A ordem de grandeza é corroborada por baixo pelo censo de clientes do próprio Estudo, que mapeia 44 compradores na área de influência, com cerca de 192 mil t/ano de consumo identificado e da ordem de 62 mil t/ano imediatamente capturáveis pela CIPREM.</w:t>
      </w:r>
    </w:p>
    <w:p>
      <w:pPr>
        <w:spacing w:after="180" w:line="276"/>
        <w:jc w:val="both"/>
      </w:pPr>
      <w:r>
        <w:rPr>
          <w:color w:val="000000"/>
        </w:rPr>
        <w:t xml:space="preserve">A praça vizinha de Jaguaré (31,6 mil habitantes; </w:t>
      </w:r>
      <w:r>
        <w:rPr>
          <w:color w:val="C00000"/>
        </w:rPr>
        <w:t>26–53 mil t/ano pela mesma métrica, de metade a pleno do índice</w:t>
      </w:r>
      <w:r>
        <w:rPr>
          <w:color w:val="000000"/>
        </w:rPr>
        <w:t>) foi mantida fora da linha de base por ter produtor instalado</w:t>
      </w:r>
      <w:r>
        <w:rPr>
          <w:color w:val="C00000"/>
        </w:rPr>
        <w:t xml:space="preserve"> — a distância medida de 39,6 km encerra a hipótese de encurtamento pela ES-356 —</w:t>
      </w:r>
      <w:r>
        <w:rPr>
          <w:color w:val="000000"/>
        </w:rPr>
        <w:t xml:space="preserve"> e permanece, ao lado de Pedro Canário e da franja norte do Estado (Montanha, Mucurici e Ponto Belo — ~53 mil habitantes, sem produtor de brita local), como potencial adicional de captura. Por conservadorismo, tais mercados não foram incorporados às projeções de receita do empreendimento.</w:t>
      </w:r>
    </w:p>
    <w:p>
      <w:pPr>
        <w:spacing w:after="180" w:line="276"/>
        <w:jc w:val="both"/>
      </w:pPr>
      <w:r>
        <w:rPr>
          <w:color w:val="000000"/>
        </w:rPr>
        <w:t>A oferta instalada confirma a lacuna: a varredura município a município realizada em agosto de 2026 — em bases públicas de CNPJ, cadastros da ANM e fontes indexadas — não identificou nenhuma pedreira de britagem em atividade em São Mateus</w:t>
      </w:r>
      <w:r>
        <w:rPr>
          <w:color w:val="C00000"/>
        </w:rPr>
        <w:t>, em Conceição da Barra nem em Boa Esperança</w:t>
      </w:r>
      <w:r>
        <w:rPr>
          <w:color w:val="000000"/>
        </w:rPr>
        <w:t>. Em São Mateus, a presença concorrente é de natureza logístico-comercial: a Pedreira Mattar, sediada em Pinheiros (</w:t>
      </w:r>
      <w:r>
        <w:rPr>
          <w:color w:val="C00000"/>
        </w:rPr>
        <w:t>66,8 km</w:t>
      </w:r>
      <w:r>
        <w:rPr>
          <w:color w:val="000000"/>
        </w:rPr>
        <w:t xml:space="preserve">), mantém filial no município com CNAE de beneficiamento, sem atividade de extração associada — a extração, naquele município, corre pela Mattar Empreendimentos Minerários. A operação de britagem mais próxima é a Mineração Usibrita, em Jaguaré (~40 km da sede), ainda em escala reduzida e situada fora do mercado-base. Cabe distinguir duas funções que a redação anterior tratava como uma só: a Usibrita é concorrente de preço — </w:t>
      </w:r>
      <w:r>
        <w:rPr>
          <w:color w:val="C00000"/>
        </w:rPr>
        <w:t>chega à sede praticamente da mesma distância que a CIPREM, ancorando o preço da praça</w:t>
      </w:r>
      <w:r>
        <w:rPr>
          <w:color w:val="000000"/>
        </w:rPr>
        <w:t xml:space="preserve"> —, mas vendeu ~5 mil t em 2025, menos de um quinto da demanda do próprio município onde se instala, e não tem escala para disputar volume. Quem limita volume são </w:t>
      </w:r>
      <w:r>
        <w:rPr>
          <w:color w:val="C00000"/>
        </w:rPr>
        <w:t>os produtores de porte: a pedreira de Pinheiros, a 66,8 km, contra a qual a vantagem de frete da CIPREM é de R$ 23,8 por tonelada, e a MCL, em Nova Venécia, a 75,5 km, contra a qual chega a R$ 31,7 — da ordem de um quarto a um terço do preço posto na obra</w:t>
      </w:r>
      <w:r>
        <w:rPr>
          <w:color w:val="000000"/>
        </w:rPr>
        <w:t xml:space="preserve">. Os produtores de porte operam a partir de </w:t>
      </w:r>
      <w:r>
        <w:rPr>
          <w:color w:val="C00000"/>
        </w:rPr>
        <w:t>66,8 km — Pinheiros e Nova Venécia —</w:t>
      </w:r>
      <w:r>
        <w:rPr>
          <w:color w:val="000000"/>
        </w:rPr>
        <w:t xml:space="preserve"> e o maior deles a cerca de 100 km, em Rio Bananal, com parte do suprimento vindo do eixo Linhares–Aracruz (85–140 km). A jazida da CIPREM está a </w:t>
      </w:r>
      <w:r>
        <w:rPr>
          <w:color w:val="C00000"/>
        </w:rPr>
        <w:t>40,7 km</w:t>
      </w:r>
      <w:r>
        <w:rPr>
          <w:color w:val="000000"/>
        </w:rPr>
        <w:t xml:space="preserve"> da sede de São Mateus, e o corredor de Nestor Gomes que a serve fica a 10 km ou menos, onde a vantagem de frete alcança R$ 31,9/t: em um produto cujo preço posto na obra é dominado pelo frete, é vantagem competitiva estrutural no maior polo de demanda da região — a operação substitui suprimento de longa distância por produção local.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Além disso, o município de São Mateus vive um ciclo de investimentos públicos sem precedente na sua série histórica. </w:t>
      </w:r>
      <w:r>
        <w:rPr>
          <w:rFonts w:ascii="Calibri" w:cs="Calibri" w:eastAsia="Calibri" w:hAnsi="Calibri"/>
          <w:color w:val="C00000"/>
          <w:sz w:val="22"/>
          <w:szCs w:val="22"/>
        </w:rPr>
        <w:t>A macrodrenagem e pavimentação de Guriri é um programa que o Governo do Estado estima em cerca de R$ 1 bilhão no conjunto das três etapas: a bacia 2 está em execução pelo Consórcio Guriri CT, com conclusão prevista para o fim de 2028; a bacia 1 teve edital publicado em março de 2026 (R$ 321,8 milhões, 13,5 km de galerias e ~125 mil m² de pavimentação); e a bacia 3 está prevista, ainda sem edital publicado. Somam-se o Contorno de São Mateus/ES-318, em execução desde novembro de 2024 (R$ 190,2 milhões — contrato original de R$ 164,2 milhões acrescido de dois termos aditivos —, 24,6 km e três pontes, prazo de 35 meses), a duplicação da ES-315 entre a sede e Guriri (R$ 92,1 milhões, 12,06 km, conclusão contratual prevista para dezembro de 2026) e a antecipação, pela concessionária Ecovias Capixaba, de 21,6 km de terceiras faixas no trecho norte da BR-101 — entre os km 50,3 e 134,1, distribuídos por Conceição da Barra, São Mateus, Jaguaré, Sooretama e Linhares —, com cerca de 7 km previstos até fevereiro de 2027 e os 14,72 km restantes até dezembro de 2027, dentro dos 41 km planejados na concessão.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Essas frentes adicionam 70–100 mil t/ano de demanda extraordinária de brita durante a janela de obras — e destravam um potencial estrutural maior: a malha planejada de Guriri (11 avenidas e 31 ruas ao longo de ~8 km) permanece majoritariamente sem pavimentação definitiva, e sua pavimentação completa, viabilizada justamente pela macrodrenagem em curso, </w:t>
      </w:r>
      <w:r>
        <w:rPr>
          <w:rFonts w:ascii="Calibri" w:cs="Calibri" w:eastAsia="Calibri" w:hAnsi="Calibri"/>
          <w:color w:val="C00000"/>
          <w:sz w:val="22"/>
          <w:szCs w:val="22"/>
        </w:rPr>
        <w:t xml:space="preserve">é dimensionada no Estudo anexo em 350 a 400 mil m² de pavimento — da ordem de 500 mil toneladas de agregados ao longo dos próximos anos —, das quais as projeções contabilizam, conservadoramente, apenas 75 a 90 mil t de brita da pavimentação remanescente.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As frentes demandam todo o portfólio do projeto: concreto estrutural (Britas 0 e 1) nas galerias e pontes, base e sub-base granular (BGS) nas rodovias, CBUQ (pedrisco) e assentamento de pavimento intertravado (pó de pedra) — padrão construtivo predominante na região.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 setor privado, operam na praça centrais de concreto de grupos consolidados (</w:t>
      </w:r>
      <w:r>
        <w:rPr>
          <w:rFonts w:ascii="Calibri" w:cs="Calibri" w:eastAsia="Calibri" w:hAnsi="Calibri"/>
          <w:color w:val="C00000"/>
          <w:sz w:val="22"/>
          <w:szCs w:val="22"/>
        </w:rPr>
        <w:t xml:space="preserve">Polimix, na BR-101 km 71, e Pedramix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), consumidoras contínuas de brita e areia industrial. O escoamento das frações finas — historicamente as de venda mais difícil em pedreiras entrantes — apoia-se no padrão construtivo predominante da região, o pavimento intertravado, que consome pó de pedra no assentamento e na fabricação dos blocos, e nas rotas técnicas de recomposição em brita graduada simples e de areia de brita. A Prefeitura — receita realizada de R$ 696,7 milhões em 2024 e </w:t>
      </w:r>
      <w:r>
        <w:rPr>
          <w:rFonts w:ascii="Calibri" w:cs="Calibri" w:eastAsia="Calibri" w:hAnsi="Calibri"/>
          <w:color w:val="C00000"/>
          <w:sz w:val="22"/>
          <w:szCs w:val="22"/>
        </w:rPr>
        <w:t xml:space="preserve">classificação A na Capacidade de Pagamento (CAPAG) do Tesouro Nacional na avaliação vigente, ano-base 2025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é compradora direta para pavimentação em blocos, meios-fios e drenagem.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Há ainda potencial adicional não contabilizado nas projeções: o Terminal Portuário de Urussuquara (Petrocity), </w:t>
      </w:r>
      <w:r>
        <w:rPr>
          <w:rFonts w:ascii="Calibri" w:cs="Calibri" w:eastAsia="Calibri" w:hAnsi="Calibri"/>
          <w:color w:val="C00000"/>
          <w:sz w:val="22"/>
          <w:szCs w:val="22"/>
        </w:rPr>
        <w:t xml:space="preserve">cujo processo de Licença Prévia tramita no IBAMA desde 2021, com EIA/Rima e audiência pública realizada em 2023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demandaria enrocamento e concreto em volume de outra ordem de grandeza caso as obras se confirmem. </w:t>
      </w:r>
      <w:r>
        <w:rPr>
          <w:rFonts w:ascii="Calibri" w:cs="Calibri" w:eastAsia="Calibri" w:hAnsi="Calibri"/>
          <w:color w:val="C00000"/>
          <w:sz w:val="22"/>
          <w:szCs w:val="22"/>
        </w:rPr>
        <w:t xml:space="preserve">Até a última informação pública disponível a licença não havia sido emitida, razão pela qual o terminal é tratado como potencial, e não como premissa.</w:t>
      </w:r>
    </w:p>
    <w:p>
      <w:pPr>
        <w:spacing w:after="180" w:line="276"/>
        <w:jc w:val="both"/>
      </w:pPr>
      <w:r>
        <w:rPr>
          <w:color w:val="C00000"/>
        </w:rPr>
        <w:t>Em síntese, sob a definição adotada de mercado — os três municípios sem produtor instalado e dentro do raio econômico do frete: São Mateus, Conceição da Barra e Boa Esperança —, a demanda corrente de cerca de 296 mil t/ano (piso prudente: 260 mil) já supera o platô do projeto. A leitura correta da participação, porém, não é contra essa linha de base e sim contra o mercado efetivamente endereçável, que soma às três praças-base a praça disputada de Jaguaré (26–53 mil t/ano), as praças alcançáveis por entrega própria em Nova Venécia e Pinheiros (64–129 mil t/ano) e as obras públicas catalogadas (70–100 mil t/ano): 421 a 577 mil t/ano. Contra essa base, o platô de 237.516 t/ano — 90% do teto licenciado e 40% da capacidade instalada da planta — representa 41 a 56%, e não os 80 a 91% que a leitura restrita ao mercado-base sugeriria. Pela via de baixo para cima, aplicando pesos de penetração praça a praça, a captura resulta em 207 a 245 mil t/ano, faixa na qual o platô se posiciona a 81%; a condição dessa conta deve ser dita com clareza: a sede sozinha não sustenta o platô, e a diferença vem das praças vizinhas, onde a CIPREM só entra entregando com frota própria. Às obras cabe ainda outro papel: coincidem com a carência e o ramp-up (anos 1–2, vendas de 63 a 126 mil t/ano), absorvendo a produção inicial justamente no período de maturação comercial. Mercado estruturalmente deficitário — sem produtor instalado na base, com o grosso do suprimento viajando de 66,8 a 140 km —, vantagem logística e cronologia favorável compõem um quadro de baixo risco de demanda para o financiamento pleiteado.</w:t>
      </w:r>
    </w:p>
    <w:p>
      <w:pPr>
        <w:spacing w:after="40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empreendimento situa-se na área de atuação da SUDENE, beneficiando-se dos instrumentos de fomento do FNE, e está alinhado às diretrizes da Política Nacional de Desenvolvimento Regional: substitui suprimento de longa distância por produção local, reduz custo de construção na região, gera emprego e renda no interior do Espírito Santo e fortalece a infraestrutura para os investimentos públicos e privados do norte capixaba.</w:t>
      </w:r>
    </w:p>
    <w:p>
      <w:pPr>
        <w:pBdr>
          <w:top w:val="single" w:color="BFBFBF" w:sz="6" w:space="10"/>
        </w:pBdr>
        <w:spacing w:after="60" w:before="20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NOTA DE REVISÃO — não integra o texto da carta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Registro do que foi suprimido ou corrigido, para conferência antes do protocolo. Supressões não aparecem em vermelho no texto acima porque o trecho deixou de existir.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150"/>
        <w:gridCol w:w="3800"/>
      </w:tblGrid>
      <w:tr>
        <w:trPr>
          <w:tblHeader/>
        </w:trPr>
        <w:tc>
          <w:tcPr>
            <w:tcW w:type="dxa" w:w="20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31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 que mudou</w:t>
            </w:r>
          </w:p>
        </w:tc>
        <w:tc>
          <w:tcPr>
            <w:tcW w:type="dxa" w:w="3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Por quê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Agregado de "R$ 950 milhões em obras"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Suprimido o número agregado; as obras passam a ser itemizadas uma a uma, com valor e fonte.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Não há fonte pública que declare esse total para São Mateus. O ~R$ 1 bilhão divulgado refere-se ao programa de macrodrenagem de Guriri (três etapas), não ao conjunto das obras do município — atribuí-lo ao município seria contestável pelo analista.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Memória de cálculo do índice per capita e link da fonte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0"/>
              </w:rPr>
              <w:t>Reintroduzidos no corpo da carta, a pedido do cliente (3ª rodada), o cálculo exato "6.888.010,58 t ÷ 4.126.854 hab = 1,669 t/hab/ano" e a fonte (painel Power BI do AMB/ANM).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0"/>
              </w:rPr>
              <w:t>Consumo e população referem-se ao mesmo ano de 2025, o que torna o produto direto índice × população o número mais defensável. A demanda do mercado-base passa a ser ≈ 273 mil t/ano (163.346 hab), com piso de robustez de ~249 mil t/ano (metade do índice em Conceição da Barra). A faixa 1,6–1,7 deixou de ser usada no corpo da carta.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Demanda de "285 mil t/ano" e de "275–350 mil t/ano"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0"/>
              </w:rPr>
              <w:t>Substituídas pela estimativa de ≈ 296 mil t/ano do mercado-base de três municípios (índice exato 1,669 × 177.400 hab; piso prudente ~260 mil).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0"/>
              </w:rPr>
              <w:t>O texto anterior trazia três números divergentes para a mesma grandeza (220, 285 e 275–350 mil t/ano). O valor novo é o do Estudo anexo e decorre do recorte por dois critérios cumulativos — sem produtor instalado e dentro do raio econômico do frete — e do índice de 2025.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Núcleo de quatro municípios (208.951 hab)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t>Reduzido ao mercado-base de São Mateus, Conceição da Barra e Boa Esperança (177.400 hab).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0"/>
              </w:rPr>
              <w:t>Jaguaré tem produtor instalado, e por isso segue fora da base. Boa Esperança, medida em 27,9 km pela Rod. Willes Jantorno, está em paridade de frete (−R$ 5,1/t) como Conceição da Barra (−R$ 5,2/t) e passou a integrar o mercado-base; a mudança não altera o mercado endereçável nem a captura, pois a praça já era contada como camada disputada.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"Mais populoso do norte do Espírito Santo"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Trocado por "mais populoso da Microrregião Nordeste (Lei estadual nº 9.768/2011)".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Linhares tem 183,8 mil habitantes (est. 2025) e é rotineiramente tratada como norte capixaba. Sem a qualificação da regionalização oficial, a frase é indefensável.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>Contorno ES-318: atualização do valor contratado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>Valor atualizado para R$ 190,2 milhões, explicitando a composição: contrato de 2021 de R$ 164,2 milhões mais dois termos aditivos de R$ 26,0 milhões (+15,8%).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>Os R$ 164 milhões repetidos nas comunicações oficiais do DER-ES são o valor original de 2021 e subestimam o contrato vigente, elevado por dois aditivos (Construtora Ápia S.A., regime RDC Integrado). Extensão e número de pontes ficam como na minuta original da carta.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BR-101: "21,6 km atravessando São Mateus"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Corrigido para 21,6 km entre os km 50,3 e 134,1, distribuídos por cinco municípios.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Os 21,6 km não estão todos em São Mateus: abrangem Conceição da Barra, São Mateus, Jaguaré, Sooretama e Linhares. As datas passam a refletir as duas etapas de entrega (fev/2027 e dez/2027).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Guriri: "1 milhão de m² de vias e mais de 1 milhão de toneladas"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Ajustado para 350 a 400 mil m² e da ordem de 500 mil toneladas de agregados.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número anterior contradizia o próprio Estudo de Mercado anexo, que dimensiona a malha principal do balneário em 350–400 mil m². As 75–90 mil t contabilizadas nas projeções permanecem inalteradas.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Prefeitura: "nota máxima de capacidade de pagamento"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Trocado por "classificação A na CAPAG do Tesouro Nacional (ano-base 2025)".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nota A está correta e é a melhor da série histórica do município, mas a metodologia vigente do Tesouro não a caracteriza como nota máxima.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Porto de Urussuquara: "fase avançada de licenciamento" e "documentação entregue em janeiro/2025"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Substituído por processo em trâmite no IBAMA desde 2021, com audiência pública em 2023 e sem licença emitida.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data de janeiro/2025 provavelmente reproduz matéria de dezembro/2024 que se referia a janeiro de 2024. Não há registro público de emissão da Licença Prévia, o que desaconselha a expressão "fase avançada".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Concorrência: "único produtor de ~5 mil t/ano atende a região"; Rio Bananal "a ~73 km"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Reescrito: nenhum produtor no mercado-base; Usibrita fora da base; maior produtor a cerca de 100 km.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Rio Bananal está a ~78 km de São Mateus em linha reta, o que torna impossível a distância rodoviária de 73 km. A correção reforça a tese: o concorrente de porte está ainda mais longe do que se afirmava.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t>Platô de produção do projeto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t>Elevado de 216.000 para 237.516 t/ano (90% do teto licenciado) e antecipado do ano 4 para o ano 3.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t>No motor oficial do BNB, o platô anterior dava 51,0% de comprometimento e NÃO passava na janela de 30–50%; o novo dá 44,6% e passa, com máximo financiável de R$ 26,40 mi contra o pleito de R$ 24,29 mi. O gargalo é o ano 3, não o nível do platô.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t>Participação de mercado do platô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0"/>
              </w:rPr>
              <w:t>Lida contra o mercado endereçável (421–577 mil t/ano): 41–56%, em vez da leitura restrita à linha de base (80–91%).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0"/>
              </w:rPr>
              <w:t>Participação da ordem de 90% para um entrante não se sustenta em análise. O mercado endereçável soma as praças alcançáveis por CIF e as obras, que estavam fora da conta anterior.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t>Concorrente de preço × concorrente de volume</w:t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t>Separadas as duas funções: a Usibrita ancora preço (chega à praça na mesma distância da CIPREM, sem escala); os produtores de porte definem volume (R$ 23,8/t de vantagem para a CIPREM sobre Pinheiros, R$ 31,7/t sobre Nova Venécia).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t>Tratá-las como um só concorrente subestimava a posição da CIPREM; a Usibrita vendeu ~5 mil t em 2025, menos de um quinto da demanda do município onde opera.</w:t>
            </w:r>
          </w:p>
        </w:tc>
      </w:tr>
    </w:tbl>
    <w:p>
      <w:pPr>
        <w:spacing w:before="200"/>
      </w:pPr>
      <w:r>
        <w:rPr>
          <w:color w:val="000000"/>
        </w:rPr>
        <w:t xml:space="preserve">Pendência para o Estudo de Mercado anexo: </w:t>
      </w:r>
      <w:r>
        <w:rPr>
          <w:color w:val="C00000"/>
        </w:rPr>
        <w:t>harmonizada nesta rodada — o Estudo v4 já adota R$ 190,2 milhões para o Contorno da ES-318, ~100 km para Rio Bananal e a 8ª posição populacional de São Mateus. Permanecem em aberto, agora no Estudo: o rendimento de britagem (desmonte → produto vendável) e as condicionantes de horário de operação da licença.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CIPREM — Carta Consulta, seção 3 revisada</dc:title>
  <dc:creator>Projet Consultoria &amp; Investimentos</dc:creator>
  <cp:lastModifiedBy>Un-named</cp:lastModifiedBy>
  <cp:revision>1</cp:revision>
  <dcterms:created xsi:type="dcterms:W3CDTF">2026-08-15T22:24:17.644Z</dcterms:created>
  <dcterms:modified xsi:type="dcterms:W3CDTF">2026-08-15T22:24:17.645Z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