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i/>
          <w:iCs/>
          <w:color w:val="595959"/>
          <w:sz w:val="18"/>
          <w:szCs w:val="18"/>
        </w:rPr>
        <w:t>Versão 4 — concorrência verificada município a município (CNPJ/CNAE), populações IBGE por município e área de influência estratificada: mercado-base conservador (São Mateus + Conceição da Barra), praças disputadas fora da linha de base (Jaguaré, Boa Esperança), potencial secundário e praças defensivas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  <w:bCs/>
        </w:rPr>
        <w:t xml:space="preserve">Objetivo. </w:t>
      </w:r>
      <w:r>
        <w:t xml:space="preserve"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e define a estratégia de entrada por zonas de atuação.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aproximadamente 35 km da sede de São Mateus.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A confirmar: </w:t>
      </w:r>
      <w:r>
        <w:t xml:space="preserve">coordenada exata da boca da jazida (km ~35) e poligonal no SIGMINE/ANM;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t xml:space="preserve">Trata-se de </w:t>
      </w:r>
      <w:r>
        <w:rPr>
          <w:b/>
          <w:bCs/>
        </w:rPr>
        <w:t xml:space="preserve">empreendimento pré-operacional em implantação</w:t>
      </w:r>
      <w:r>
        <w:t xml:space="preserve">: 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t xml:space="preserve">Como produto frete-dependente, o mercado da CIPREM é definido pelo raio econômico a partir da jazida (ponto-zero ~km 35 da rodovia de Nestor Gomes). A tabela abaixo ordena as praças pela distância rodoviária aproximada e classifica cada uma por zona de competitividade.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sede / jazida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Classificação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instalado / observação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São Mateus –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— / ~35–50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mercado-base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Nenhuma cava de brita no município (verificado ago/2026): só pátio de beneficiamento da Mattar e 2 areais (areia). Maior polo de demanda; grandes obras públicas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Distritos de Nestor Gomes / corredor da ES-381 — (contidos na sede)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 / 0–20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mercado-base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Mercado de proximidade imediata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~60 / ~32–36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disputada (fora da base)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 (verificado ago/2026); a 32–36 km da jazida (rota a confirmar) e a ~26 km da pedreira da MCL: desvantagem de frete — mantida fora da linha de 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Jaguaré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/ ~35–45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disputada (fora da base)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Usibrita instalada no município (Grupo Colombi, ramo concorrente): ~5 mil t/2025 via CFEM; ato ANM 2024 sinaliza expansão — mantida fora da linha de 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Conceição da Barra — 27,5 mil hab (Censo 2022)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~34 / ~69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2 — mercado-base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local; litoral em expansão; rota via sede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Pedro Canário — 21,9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~52 / ~87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Potencial secundário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local; disputa com a Mattar (Pinheiros a ~50 km); fora do mercado-base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Nova Venécia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~67 / ~29–32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3 — defensiva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Praça-sede da MCL/Colombi (unidade Pedra do Elefante, ES-137 km 131)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Pinheiros — 24,8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/ ~44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3 — defensiva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Praça-sede da Pedreira Mattar (única pedreira do município)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Franja norte: Montanha, Mucurici e Ponto Belo — 31,2 mil hab (C22/est.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~115–138 / ~95+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Potencial secundário (franja desabastecida)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de brita nos três municípios (verificado ago/2026); suprimento atual de frete longo (Pinheiros; Teixeira de Freitas/BA)</w:t>
            </w:r>
          </w:p>
        </w:tc>
      </w:tr>
      <w:tr>
        <w:tc>
          <w:tcPr>
            <w:tcW w:type="dxa" w:w="2400"/>
          </w:tcPr>
          <w:p>
            <w:r>
              <w:t>São Gabriel da Palha — 34,3 mil hab (est. 2025)</w:t>
            </w:r>
          </w:p>
        </w:tc>
        <w:tc>
          <w:tcPr>
            <w:tcW w:type="dxa" w:w="1500"/>
          </w:tcPr>
          <w:p>
            <w:r>
              <w:t>~109 / ~75–90 km</w:t>
            </w:r>
          </w:p>
        </w:tc>
        <w:tc>
          <w:tcPr>
            <w:tcW w:type="dxa" w:w="1400"/>
          </w:tcPr>
          <w:p>
            <w:r>
              <w:t>Fora do raio econômico</w:t>
            </w:r>
          </w:p>
        </w:tc>
        <w:tc>
          <w:tcPr>
            <w:tcW w:type="dxa" w:w="4060"/>
          </w:tcPr>
          <w:p>
            <w:r>
              <w:t>Sem produtor local identificado; borderline de frete</w:t>
            </w:r>
          </w:p>
        </w:tc>
      </w:tr>
      <w:tr>
        <w:tc>
          <w:tcPr>
            <w:tcW w:type="dxa" w:w="2400"/>
          </w:tcPr>
          <w:p>
            <w:r>
              <w:t>Vila Pavão — 8,9 mil hab (Censo 2022)</w:t>
            </w:r>
          </w:p>
        </w:tc>
        <w:tc>
          <w:tcPr>
            <w:tcW w:type="dxa" w:w="1500"/>
          </w:tcPr>
          <w:p>
            <w:r>
              <w:t>~97 / ~62 km</w:t>
            </w:r>
          </w:p>
        </w:tc>
        <w:tc>
          <w:tcPr>
            <w:tcW w:type="dxa" w:w="1400"/>
          </w:tcPr>
          <w:p>
            <w:r>
              <w:t>Fora do raio econômico</w:t>
            </w:r>
          </w:p>
        </w:tc>
        <w:tc>
          <w:tcPr>
            <w:tcW w:type="dxa" w:w="4060"/>
          </w:tcPr>
          <w:p>
            <w:r>
              <w:t>Polo de granito ornamental (blocos); sem britagem comercial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Populações incorporadas por município: IBGE, estimativas 2025 (Censo 2022 para Conceição da Barra, Montanha e Vila Pavão, sem estimativa 2025 localizada nas fontes consultadas). Distâncias rodoviárias apuradas em sites de rotas (ago/2026). Para as praças situadas adiante no próprio tronco da estrada de Nestor Gomes, a distância desde a jazida foi decomposta a partir do marco km ~35 (Nova Venécia ≈ 67 − 35 ≈ 29–32 km) — procedimento válido somente quando a praça está no mesmo eixo. A decomposição NÃO se aplica a Boa Esperança: a partir do km 35 a praça fica a rumo ~321°, cerca de 50° fora do eixo da estrada (rumo ~271°), de modo que a rota bifurca. A distância em linha reta entre os dois pontos já é 25,1 km, o que torna impossível a estimativa anterior de 25 km rodoviários; adota-se 32–36 km. Toda distância rodoviária deste estudo foi submetida ao teste de sanidade rodovia ≥ linha reta entre coordenadas. Recomenda-se refino por roteirizador, a partir da coordenada da boca da jazida, na versão de protocolo.</w:t>
      </w:r>
      <w:r/>
    </w:p>
    <w:p>
      <w:pPr>
        <w:spacing w:after="140" w:line="276"/>
        <w:jc w:val="both"/>
      </w:pPr>
      <w:r>
        <w:rPr>
          <w:b/>
          <w:bCs/>
        </w:rPr>
        <w:t>Lógica de zonas. A Zona 1 reúne as praças onde a CIPREM tem vantagem ou paridade de frete — inclui o corredor de Nestor Gomes, onde a vantagem de frete é máxima, e Jaguaré, disputado com o único produtor instalado no entorno imediato. A Zona 2 é contestável com escala. A Zona 3 são as praças-sede dos concorrentes (atuação defensiva). A franja desabastecida (Montanha, Mucurici, Ponto Belo) não tem produtor local em raio de 60+ km, mas está além do raio econômico FOB — alcançável apenas com CIF/escala. A contagem de demanda é mais restrita que a zona comercial: o mercado-base (linha de base das projeções) limita-se a São Mateus e Conceição da Barra = 161,9 mil hab; Jaguaré e Boa Esperança = 45,6 mil hab são praças disputadas mantidas fora da linha de base — aquele pelo produtor instalado (Usibrita), esta por gravitar comercialmente para Nova Venécia, cuja pedreira (MCL) está a ~26 km da praça contra 32–36 km da jazida CIPREM — desvantagem de frete, e não paridade, como se supunha na estimativa anterior — e tratadas como alvo de captura adicional, não como base; potencial secundário (Pedro Canário + franja) = 53,1 mil; praças defensivas (Nova Venécia, Pinheiros) = 77,2 mil; fora do raio (São Gabriel da Palha, Vila Pavão) = 43,2 mil.</w:t>
      </w:r>
      <w:r/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da análise mantém-se: as unidades produtivas dos concorrentes ficam mais distantes do polo de demanda do que ficaria a CIPREM — em um produto cujo preço final é dominado pelo frete, vantagem competitiva estrutural. As novidades relevantes da v4 são a confirmação de um produtor incipiente no entorno imediato (Usibrita, Jaguaré — praça disputada, fora do mercado-base) e a caracterização da Mattar como grupo interestadual com pátio em São Mateus.</w:t>
      </w:r>
      <w:r>
        <w:rPr>
          <w:b/>
          <w:bCs/>
        </w:rPr>
      </w:r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~29–32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~62 km (unidade) / ~67 km (sede NV)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~44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t>A MCL/Colombi produz a ~62 km da sede de São Mateus (unidade Pedra do Elefante; a sede de Nova Venécia está a ~67 km), a Mattar a ~70 km (Pinheiros) e a Sangali a ~100 km (Rio Bananal); a CIPREM produziria a ~35 km — e a Usibrita, único produtor do entorno imediato (em Jaguaré, praça disputada fora do mercado-base), a ~40 km,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  <w:r>
        <w:rPr>
          <w:b/>
          <w:bCs/>
        </w:rPr>
      </w:r>
      <w:r/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Varredura concluída (ago/2026): 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Pendência residual: conferência visual no mapa SIGMINE (acesso indisponível no ambiente desta pesquisa) — anexar o print por município na versão de protocolo.</w:t>
      </w:r>
      <w:r/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t>O relato de pedreira em atividade em Jaguaré — praça da Zona 1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  <w:r>
        <w:rPr>
          <w:b/>
          <w:bCs/>
        </w:rPr>
      </w:r>
      <w:r/>
      <w:r>
        <w:rPr>
          <w:b/>
          <w:bCs/>
        </w:rPr>
      </w:r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Implicação: Jaguaré passa de "baixa concorrência local" a praça disputada da Zona 1 — para o consumo do próprio município, a Usibrita tem vantagem de frete; para São Mateus, onde está o grosso da demanda, a CIPREM mantém a posição. A evolução da Usibrita (CFEM anual e novos atos ANM) deve ser monitorada semestralmente. A investigação da v3, que dava o caso por inconclusivo, fica superada nesta versão.</w:t>
      </w:r>
      <w:r/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— Grupo Colombi, unidade Pedra do Elefante / ES-137 km 131 (~62 km da sede; sede de Nova Venécia a ~67 km)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— Grupo Colombi (mesmo ramo da MCL), Jaguaré (~40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Leitura: </w:t>
      </w:r>
      <w:r>
        <w:t>o único produtor de porte (Sangali) está a ~100 km; o da Columbia, modesto, a ~62 km; e o mais próximo (Usibrita, ~41 km) mal começou — produziu o equivalente a ~5 mil t em 2025. *Volume estimado dividindo o faturamento por um preço médio de brita posto da ordem de R$ 50/t (ordem de grandeza, a confirmar).</w:t>
      </w:r>
      <w:r>
        <w:t xml:space="preserve"> A Pedreira Mattar não figura nesta base: sua matriz opera o CNAE 2391-5/01 (britamento sem extração associada), de modo que a titularidade da lavra/CFEM pode estar em outro nome — o porte real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t>A linha de base parte do consumo efetivo de brita no Espírito Santo apurado nas vendas declaradas à ANM (RAL 2024–2025): 1,6–1,7 t/hab/ano — convergente com a rota ANEPAC (4,1 t/hab/ano de agregados no Sudeste × ~41,6% de participação da brita no mix ≈ 1,7). Aplicado à sede (134.423 hab — IBGE, estimativa 2025), resulta em 215–230 mil t/ano. No mercado-base conservador de dois municípios (São Mateus 134.423 — estimativa 2025 — e Conceição da Barra 27.458 — Censo 2022; total 161.881 hab), a demanda corrente situa-se entre 235 e 275 mil t/ano. Memória de cálculo — piso: 134.423 × 1,6 + 27.458 × 0,8 ≈ 237,0 mil t/ano (índice pleno na sede; metade do índice no município de perfil rural-litorâneo); teto: 161.881 × 1,7 ≈ 275,2 mil t/ano (índice estadual pleno em todo o mercado-base). As praças disputadas de Jaguaré (31.551 hab; produtor instalado) e Boa Esperança (14.054 hab; órbita comercial de Nova Venécia), mantidas fora da linha de base por conservadorismo, adicionariam 36–78 mil t/ano pela mesma métrica (0,8–1,7 t/hab). Fonte do índice: vendas declaradas no RAL, consolidadas pela ANM no Anuário Mineral Brasileiro/AMB [27].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Premissa e uso. Estimativa top-down para ordem de grandeza, não número contábil. O piso de 0,8 t/hab/ano no interior é premissa conservadora declarada (metade do índice estadual efetivo), sem fonte própria. A demanda real é triangulada com as vendas dos concorrentes (6.1), o consumo das obras (6.3) e o censo de clientes (7.1). As praças disputadas — Jaguaré e Boa Esperança; 45.605 hab; 36–78 mil t/ano — e o potencial secundário — Pedro Canário e a franja norte desabastecida (Montanha, Mucurici e Ponto Belo); 53.147 hab no conjunto — ficam fora da linha de base e das projeções.</w:t>
      </w:r>
      <w:r/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R$ 164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 (construtora não identificada publicamente)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24,26 km de rodovia + 2 pontes (rio Mariricu);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t>Cruzando as três camadas: a oferta de brita instalada dentro do mercado-base é nula — não há cava de brita em São Mateus nem em Conceição da Barra (tampouco em Boa Esperança; a operação mais próxima é a Usibrita, ~5 mil t/ano, em Jaguaré, praça disputada fora da base — item 6.1); a demanda só das obras públicas catalogadas é da ordem de 70 a 100 mil t/ano; e a demanda corrente do mercado-base situa-se entre 235 e 275 mil t/ano. Ou seja: a região consome muito mais brita do que produz por perto, importando-a de 60 a 140 km com frete caro (MCL ~62 km; Mattar ~70 km; Sangali ~100 km; Linhares–Aracruz 85–142 km). A questão de fundo — se as obras dividem um mercado pequeno ou o ampliam — se responde pelos números: o mercado cresce, e a CIPREM, a ~34 km da sede, entra com a maior vantagem de frete. No platô, a produção de 216 mil t/ano equivale a 78–91% da demanda corrente do mercado-base (57–70% somando as obras) — participação alta, porém consistente com a posição de único produtor instalado no mercado-base, substituindo suprimento hoje importado; as praças disputadas (36–78 mil t/ano) e o potencial secundário oferecem espaço adicional de captura fora da conta, e o volume é comparável ao que a Sangali (~360 mil t/ano) realiza na própria zona de influência.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t xml:space="preserve">Combinando a demanda corrente (linha de base ~220–230 mil t/ano de brita na sede),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t xml:space="preserve">Foi levantado um censo de </w:t>
      </w:r>
      <w:r>
        <w:rPr>
          <w:b/>
          <w:bCs/>
        </w:rPr>
        <w:t xml:space="preserve">44 consumidores de agregado</w:t>
      </w:r>
      <w:r>
        <w:t xml:space="preserve"> na área de influência (concreteiras, construtoras, pré-moldados, loteadoras e lojas de material), com nome, contato, zona e distância — detalhado em planilha anexa. Aplicando índices setoriais por porte, a demanda de brita </w:t>
      </w:r>
      <w:r>
        <w:rPr>
          <w:b/>
          <w:bCs/>
        </w:rPr>
        <w:t xml:space="preserve">mapeada nesses clientes é da ordem de 192 mil t/ano</w:t>
      </w:r>
      <w:r>
        <w:t xml:space="preserve"> (um piso, pois não inclui a autoconstrução pulverizada nem as obras públicas). Sob premissa de captura de 35% na Zona 1 e 15% na Zona 2, o volume </w:t>
      </w:r>
      <w:r>
        <w:rPr>
          <w:b/>
          <w:bCs/>
        </w:rPr>
        <w:t xml:space="preserve">capturável pela CIPREM seria de ~62 mil t/ano</w:t>
      </w:r>
      <w:r>
        <w:t xml:space="preserve"> — número-âncora útil para dimensionar a capacidade da planta.</w:t>
      </w:r>
    </w:p>
    <w:p>
      <w:pPr>
        <w:spacing w:after="140" w:line="276"/>
        <w:jc w:val="both"/>
      </w:pPr>
      <w:r>
        <w:t xml:space="preserve"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'Alta' da Zona 1,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  <w:bCs/>
        </w:rPr>
        <w:t>Zona 1 (prioridade total). São Mateus sede, Guriri e distritos do corredor de Nestor Gomes — o coração do mercado-base — e, como praças disputadas fora da linha de base, Boa Esperança (32–36 km da jazida, contra ~26 km da pedreira da MCL) e Jaguaré (Usibrita instalada no município, ainda em escala pequena: ~5 mil t/2025): vendas nessas duas praças são captura adicional sobre as projeções, não base. É onde a CIPREM produz mais perto que qualquer concorrente (ou em paridade) e onde estão o grosso da demanda e as obras. Estratégia: preço competitivo posto-obra, atendimento ágil (explorando a falha de serviço da Colombi) e foco nas empreiteiras e na Prefeitura.</w:t>
      </w:r>
      <w:r/>
    </w:p>
    <w:p>
      <w:pPr>
        <w:spacing w:after="140" w:line="276"/>
        <w:jc w:val="both"/>
      </w:pPr>
      <w:r>
        <w:rPr>
          <w:b/>
          <w:bCs/>
        </w:rPr>
        <w:t>Zona 2 (expansão com escala). Conceição da Barra (~34 km da sede) e, como potencial secundário, Pedro Canário (~52 km) — ambos sem produtor local; a disputa é contra o frete alheio (Mattar a ~50 km de Pedro Canário). A competitividade depende do equipamento instalado: planta de maior capacidade dilui custos fixos e estende o raio econômico. A franja norte (Montanha, Mucurici, Ponto Belo — ~31 mil hab sem produtor em raio de 60+ km) é opção de CIF oportunista, fora das projeções.</w:t>
      </w:r>
      <w:r/>
    </w:p>
    <w:p>
      <w:pPr>
        <w:spacing w:after="140" w:line="276"/>
        <w:jc w:val="both"/>
      </w:pPr>
      <w:r>
        <w:rPr>
          <w:b/>
          <w:bCs/>
        </w:rPr>
        <w:t>Zona 3 (defensiva). Nova Venécia e Pinheiros, praças-sede da MCL/Colombi e da Mattar. Atuação seletiva, apenas em oportunidades pontuais de preço/produto.</w:t>
      </w:r>
      <w:r/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t>Do ponto de vista mercadológico, a implantação da unidade de britagem da CIPREM em Nestor Gomes/São Mateus apresenta-se viável e bem fundamentada. Os argumentos centrais são: (i) demanda corrente de brita estimada em 215–230 mil t/ano na sede e em 235–275 mil t/ano no mercado-base conservador de dois municípios (São Mateus e Conceição da Barra, ~162 mil hab) — com as praças disputadas de Jaguaré e Boa Esperança (36–78 mil t/ano) mantidas fora da linha de base —, e um censo de 44 clientes apontando ~192 mil t/ano mapeadas e ~62 mil t/ano capturáveis pela CIPREM; (ii) um ciclo extraordinário de obras públicas (&gt;R$ 1 bilhão) que adiciona 70–100 mil t/ano de brita durante a janela de construção — da ordem de 25 a 40% acima da linha de base — além de um potencial de 75–90 mil t de brita na pavimentação remanescente de Guriri; (iii) vantagem logística estrutural, com jazida mais próxima do polo de demanda do que as unidades dos concorrentes (MCL/Colombi a ~62 km e Mattar a ~70 km da sede, contra ~35 km da CIPREM) — fator decisivo em produto frete-dependente; (iv) concorrência concentrada em poucos players, com falhas de atendimento exploráveis; e (v) respaldo de um grupo com operação consolidada no mesmo segmento (Mineração São Vicente).</w:t>
      </w:r>
      <w:r>
        <w:rPr>
          <w:b/>
          <w:bCs/>
        </w:rPr>
      </w:r>
      <w:r/>
      <w:r>
        <w:rPr>
          <w:color w:val="FF0000"/>
        </w:rPr>
      </w:r>
    </w:p>
    <w:p>
      <w:pPr>
        <w:spacing w:after="140" w:line="276"/>
        <w:jc w:val="both"/>
      </w:pPr>
      <w:r>
        <w:t xml:space="preserve">Recomenda-se que o projeto prossiga, condicionado à confirmação dos itens do quadro abaixo e ao dimensionamento da capacidade da planta de acordo com a meta de participação nas Zonas 1 e 2.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Coordenada/poligonal da jazida </w:t>
      </w:r>
      <w:r>
        <w:t xml:space="preserve">(km ~35) no SIGMINE/ANM e fase processual atualizada do 896.059/2012.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a pedreira concorrente em Jaguaré está confirmada — Mineração Usibrita Ltda (CNPJ 23.359.321/0001-82, Grupo Colombi), ativa desde 2015, ~5 mil t vendidas em 2025 (CFEM); ato da GER-ES/ANM de 2024 sobre área de granito da empresa em Jaguaré sinaliza expansão. Ver itens 5 e 5.2.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Construtora do Contorno de São Mateus (ES-318) </w:t>
      </w:r>
      <w:r>
        <w:t xml:space="preserve">— não localizada nas notícias do DER-ES; buscar no portal de Contratos do DER-ES, Transparência ES e SICAF.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varredura município a município concluída em bases públicas de CNPJ e fontes indexadas (item 5). A QUIUQUI Mineração (proc. 896.173/2017) é areial (CNAE 0810-0/06; Registro de Licença 09/2018), não concorrente de brita. Pendência residual: conferência visual no mapa SIGMINE — anexar print por município na versão de protocolo.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populações incorporadas por município — IBGE estimativas 2025 (Censo 2022 para Conceição da Barra, Montanha e Vila Pavão) — e distâncias apuradas em sites de rotas, com decomposição a partir do marco km ~35 da ES-381 para as praças do eixo. Refino por roteirizador segue recomendado para a versão de protocolo.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Número de casas/ano e alvarás de construção </w:t>
      </w:r>
      <w:r>
        <w:t xml:space="preserve">em São Mateus — buscar diretamente na Prefeitura (alvarás/Habite-se) e IBGE; até lá, usar proxy de crescimento populacional + déficit habitacional + unidades MCMV.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Status e valores atualizados das obras públicas </w:t>
      </w:r>
      <w:r>
        <w:t xml:space="preserve">na data do protocolo (são de 2025/2026).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Índice de consumo per capita </w:t>
      </w:r>
      <w:r>
        <w:t xml:space="preserve">— reconfirmar dado ANEPAC mais recente que o de base 2014.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Unidade e preço de venda </w:t>
      </w:r>
      <w:r>
        <w:t xml:space="preserve">(tonelada × m³) e capacidade nominal da planta (t/h) para fechar o dimensionamento financeiro.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Validação do índice per capita de brita (1,6–1,7 t/hab/ano, item 6.2) na fonte primária: abrir o painel AMB Interativo da ANM (ou o dataset AMB em dados.gov.br [27]), filtrar UF = ES e substância pedra britada/granito britado, ler a quantidade comercializada em 2023–2024 e dividir pela população do ES (4,10–4,13 milhões — IBGE): a faixa deve reproduzir 1,6–1,7. O acesso esteve bloqueado no ambiente desta consultoria; a sanidade nacional confere (Brasil 2023 ≈ 272 mi t ≈ 1,34 t/hab; SP ≈ 72 mi t ≈ 1,62 t/hab).</w:t>
      </w:r>
      <w:r/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[16] </w:t>
      </w:r>
      <w:r>
        <w:t xml:space="preserve">DER-ES — Contorno de São Mateus (ES-318): 24 km, R$ 165 mi, 870 dias; LI 000292/2024-D. Disponível em: </w:t>
      </w: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