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color w:val="000000"/>
        </w:rPr>
        <w:t>3. JUSTIFICATIVA DO EMPREENDIMENTO</w:t>
      </w:r>
    </w:p>
    <w:p>
      <w:pPr>
        <w:spacing w:after="160"/>
      </w:pPr>
      <w:r>
        <w:rPr>
          <w:b w:val="0"/>
          <w:i/>
          <w:color w:val="000000"/>
        </w:rPr>
        <w:t>Em vermelho: trechos alterados ou inseridos nesta revisão. Em preto: texto mantido. A nota ao final relaciona o que foi suprimido e por quê.</w:t>
      </w:r>
    </w:p>
    <w:p>
      <w:pPr>
        <w:spacing w:after="160"/>
      </w:pPr>
      <w:r>
        <w:rPr>
          <w:b w:val="0"/>
          <w:i w:val="0"/>
          <w:color w:val="000000"/>
        </w:rPr>
        <w:t xml:space="preserve">São Mateus é o município-polo e o mais populoso da Microrregião Nordeste do Espírito Santo com 134,4 mil habitantes — IBGE, estimativa 2025; 8º do Estado — e polo regional de comércio e serviços. O setor tem natureza essencialmente local: pelo baixo valor por tonelada e pelo alto custo do frete, o raio econômico de comercialização raramente ultrapassa algumas dezenas de quilômetros, e excepcionalmente 150 km entre a fonte e o consumidor. Por isso, o mercado-base do empreendimento é definido pelo raio econômico do frete e pela posição real dos concorrentes, e foi delimitado de forma deliberadamente conservadora como mercado-alvo os municípios de São Mateus e Conceição da Barra, que somam </w:t>
      </w:r>
      <w:r>
        <w:rPr>
          <w:b w:val="0"/>
          <w:i w:val="0"/>
          <w:color w:val="C00000"/>
        </w:rPr>
        <w:t>161.881 habitantes (IBGE — estimativa 2025 para São Mateus e Censo 2022 para Conceição da Barra, sem estimativa 2025 localizada; mesmo critério do Estudo de Mercado anexo)</w:t>
      </w:r>
      <w:r>
        <w:rPr>
          <w:b w:val="0"/>
          <w:i w:val="0"/>
          <w:color w:val="000000"/>
        </w:rPr>
        <w:t>, os dois municípios em que a varredura de concorrência não identificou nenhum produtor de brita instalado.</w:t>
      </w:r>
    </w:p>
    <w:p>
      <w:pPr>
        <w:spacing w:after="160"/>
      </w:pPr>
      <w:r>
        <w:rPr>
          <w:b w:val="0"/>
          <w:i w:val="0"/>
          <w:color w:val="000000"/>
        </w:rPr>
        <w:t xml:space="preserve">A demanda corrente nesse mercado-base é estimada </w:t>
      </w:r>
      <w:r>
        <w:rPr>
          <w:b w:val="0"/>
          <w:i w:val="0"/>
          <w:color w:val="C00000"/>
        </w:rPr>
        <w:t>entre 235 e 275 mil toneladas/ano</w:t>
      </w:r>
      <w:r>
        <w:rPr>
          <w:b w:val="0"/>
          <w:i w:val="0"/>
          <w:color w:val="000000"/>
        </w:rPr>
        <w:t>. A estimativa parte de um índice de consumo aparente de brita no Espírito Santo de 1,66 t/hab/ano (¹6.888.010,58 t ÷ 4.126.854 hab no estado do ES) — elaboração própria a partir das vendas declaradas à ANM no Relatório Anual de Lavra (RAL) —, aplicado integralmente à sede (215–230 mil t/ano) e, por conservadorismo, pela metade em Conceição da Barra, município de perfil rural-litorâneo. Trata-se de estimativa de ordem de grandeza, e não de número contábil: a memória de cálculo e as premissas constam do Estudo anexo. A ordem de grandeza é corroborada por baixo pelo censo de clientes do próprio Estudo, que mapeia 44 compradores na área de influência, com cerca de 192 mil t/ano de consumo identificado</w:t>
      </w:r>
      <w:r>
        <w:rPr>
          <w:b w:val="0"/>
          <w:i w:val="0"/>
          <w:color w:val="C00000"/>
        </w:rPr>
        <w:t xml:space="preserve"> — um piso, pois não inclui a autoconstrução pulverizada nem as obras públicas; a captura projetada pelo empreendimento, aplicados os pesos de penetração praça a praça do Estudo anexo, é de 200 a 248 mil t/ano (ver síntese ao final desta seção).</w:t>
      </w:r>
    </w:p>
    <w:p>
      <w:pPr>
        <w:spacing w:after="160"/>
      </w:pPr>
      <w:r>
        <w:rPr>
          <w:b w:val="0"/>
          <w:i w:val="0"/>
          <w:color w:val="000000"/>
        </w:rPr>
        <w:t>FONTE: ¹https://app.powerbi.com/view?r=eyJrIjoiODIyOWJlMTgtZTBlNi00ODFhLWJiOGEtYzlmOWM3MjhmMWQ4IiwidCI6ImEzMDgzZTIxLTc0OWItNDUzNC05YWZhLTU0Y2MzMTg4OTdiOCJ9</w:t>
      </w:r>
    </w:p>
    <w:p>
      <w:pPr>
        <w:spacing w:after="160"/>
      </w:pPr>
      <w:r>
        <w:rPr>
          <w:b w:val="0"/>
          <w:i w:val="0"/>
          <w:color w:val="000000"/>
        </w:rPr>
        <w:t xml:space="preserve">As praças vizinhas de Jaguaré e Boa Esperança (~46 mil habitantes; 36–78 mil t/ano pela mesma métrica) foram mantidas fora da linha de base — a primeira por ter produtor instalado, a segunda por </w:t>
      </w:r>
      <w:r>
        <w:rPr>
          <w:b w:val="0"/>
          <w:i w:val="0"/>
          <w:color w:val="C00000"/>
        </w:rPr>
        <w:t xml:space="preserve">desvantagem de frete frente à pedreira de Nova Venécia (MCL), que está a ~26 km da praça contra ~34 km da jazida da CIPREM. Mantê-las fora da linha de base não significa venda zero: significa que não entram na receita-base e recebem, na conta de mercado, pesos de captura menores. Em Jaguaré, em particular, o produtor instalado vendeu cerca de 5 mil t em 2025 — menos de um quinto da demanda do próprio município —, de modo que a maior parte do consumo local já é suprida de fora; para essa parcela, a CIPREM (~40 km da praça; rota pela estrada nova em apuração) disputa com supridores mais distantes, e não com o incumbente. </w:t>
      </w:r>
      <w:r>
        <w:rPr>
          <w:b w:val="0"/>
          <w:i w:val="0"/>
          <w:color w:val="000000"/>
        </w:rPr>
        <w:t>Completam o quadro, como potencial secundário igualmente fora das projeções, Pedro Canário e a franja norte do Estado (Montanha, Mucurici e Ponto Belo — ~53 mil habitantes sem produtor de brita local)</w:t>
      </w:r>
      <w:r>
        <w:rPr>
          <w:b w:val="0"/>
          <w:i w:val="0"/>
          <w:color w:val="C00000"/>
        </w:rPr>
        <w:t>, praças em que o supridor mais próximo é a pedreira de Pinheiros — em Pedro Canário, a ~50 km, contra ~87 km da CIPREM —,</w:t>
      </w:r>
      <w:r>
        <w:rPr>
          <w:b w:val="0"/>
          <w:i w:val="0"/>
          <w:color w:val="000000"/>
        </w:rPr>
        <w:t xml:space="preserve"> e, em atuação apenas </w:t>
      </w:r>
      <w:r>
        <w:rPr>
          <w:b w:val="0"/>
          <w:i w:val="0"/>
          <w:color w:val="C00000"/>
        </w:rPr>
        <w:t>por entrega própria e serviço</w:t>
      </w:r>
      <w:r>
        <w:rPr>
          <w:b w:val="0"/>
          <w:i w:val="0"/>
          <w:color w:val="000000"/>
        </w:rPr>
        <w:t>, as praças de Nova Venécia e Pinheiros, sedes de concorrentes estabelecidos. Por conservadorismo, nenhum desses mercados integra a receita-base do empreendimento.</w:t>
      </w:r>
    </w:p>
    <w:p>
      <w:pPr>
        <w:spacing w:after="160"/>
      </w:pPr>
      <w:r>
        <w:rPr>
          <w:b w:val="0"/>
          <w:i w:val="0"/>
          <w:color w:val="000000"/>
        </w:rPr>
        <w:t xml:space="preserve">A oferta instalada confirma a lacuna: a varredura município a município realizada em agosto de 2026 — em bases públicas de CNPJ, cadastros da ANM e fontes indexadas — não identificou nenhuma pedreira de britagem em atividade em São Mateus ou em Conceição da Barra. Em São Mateus, a presença concorrente é de natureza logístico-comercial: a Pedreira Mattar, sediada em Pinheiros (~70 km), mantém filial no município com CNAE de beneficiamento, sem atividade de extração associada. A operação de britagem mais próxima é a Mineração Usibrita, em Jaguaré (~40 km da sede), ainda em escala reduzida e situada fora do mercado-base. </w:t>
      </w:r>
      <w:r>
        <w:rPr>
          <w:b w:val="0"/>
          <w:i w:val="0"/>
          <w:color w:val="C00000"/>
        </w:rPr>
        <w:t xml:space="preserve">Cabe distinguir duas funções que costumam ser lidas como uma só: a Usibrita é concorrente de preço — está apenas 5 km mais longe da sede que a CIPREM, margem de R$ 4,5 por tonelada —, mas não tem escala para disputar volume; quem limita volume é a MCL, em Nova Venécia, a ~62 km, contra a qual a vantagem de frete da CIPREM é de R$ 24,6 por tonelada — da ordem de um quarto do preço posto na obra. </w:t>
      </w:r>
      <w:r>
        <w:rPr>
          <w:b w:val="0"/>
          <w:i w:val="0"/>
          <w:color w:val="000000"/>
        </w:rPr>
        <w:t>Os produtores de porte operam a partir de ~65 km — Nova Venécia e Pinheiros — e o maior deles a cerca de 100 km, em Rio Bananal, com parte do suprimento vindo do eixo Linhares–Aracruz (85–140 km). A jazida da CIPREM está a ~35 km da sede</w:t>
      </w:r>
      <w:r>
        <w:rPr>
          <w:b w:val="0"/>
          <w:i w:val="0"/>
          <w:color w:val="C00000"/>
        </w:rPr>
        <w:t>, e o corredor de Nestor Gomes que a serve fica a 10 km ou menos, onde a vantagem de frete alcança R$ 31,9 por tonelada</w:t>
      </w:r>
      <w:r>
        <w:rPr>
          <w:b w:val="0"/>
          <w:i w:val="0"/>
          <w:color w:val="000000"/>
        </w:rPr>
        <w:t>: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000000"/>
        </w:rPr>
        <w:t>Além disso, o município de São Mateus vive um ciclo de investimentos públicos sem precedente na sua série histórica, que gera uma demanda extraordinária — da ordem de R$ 950 milhões em obras já em execução ou contratação. A macrodrenagem e pavimentação de Guriri é um programa que o Governo do Estado estima em cerca de R$ 1 bilhão no conjunto das três etapas: a bacia 2 está em execução pelo Consórcio Guriri CT</w:t>
      </w:r>
      <w:r>
        <w:rPr>
          <w:b w:val="0"/>
          <w:i w:val="0"/>
          <w:color w:val="C00000"/>
        </w:rPr>
        <w:t xml:space="preserve"> (investimento de R$ 306,5 milhões)</w:t>
      </w:r>
      <w:r>
        <w:rPr>
          <w:b w:val="0"/>
          <w:i w:val="0"/>
          <w:color w:val="000000"/>
        </w:rPr>
        <w:t>, com conclusão prevista para o fim de 2028; a bacia 1 teve edital publicado em março de 2026 (R$ 321,8 milhões, 13,5 km de galerias e ~125 mil m² de pavimentação); e a bacia 3 está prevista, ainda sem edital publicado. Além deste programa, somam-se o Contorno de São Mateus/ES-318, em execução (</w:t>
      </w:r>
      <w:r>
        <w:rPr>
          <w:b w:val="0"/>
          <w:i w:val="0"/>
          <w:color w:val="C00000"/>
        </w:rPr>
        <w:t>R$ 190,2 milhões — contrato de 2021 no valor de R$ 164,2 milhões, elevado por dois termos aditivos —, 24,6 km</w:t>
      </w:r>
      <w:r>
        <w:rPr>
          <w:b w:val="0"/>
          <w:i w:val="0"/>
          <w:color w:val="000000"/>
        </w:rPr>
        <w:t xml:space="preserve"> e três pontes), a duplicação da ES-315 e a antecipação pela concessionária Ecovias Capixaba de 21,6 km de terceiras faixas no trecho norte da BR-101 atravessando São Mateus. Essas frentes adicionam 70–100 mil t/ano de demanda extraordinária de brita durante a janela de obras — e destravam um potencial estrutural maior: a malha planejada de Guriri (11 avenidas e 31 ruas ao longo de ~8 km) permanece majoritariamente sem pavimentação definitiva, e sua pavimentação completa, viabilizada justamente pela macrodrenagem em curso, representa da ordem de </w:t>
      </w:r>
      <w:r>
        <w:rPr>
          <w:b w:val="0"/>
          <w:i w:val="0"/>
          <w:color w:val="C00000"/>
        </w:rPr>
        <w:t>350 a 400 mil m² de vias — da ordem de 500 mil toneladas de agregados</w:t>
      </w:r>
      <w:r>
        <w:rPr>
          <w:b w:val="0"/>
          <w:i w:val="0"/>
          <w:color w:val="000000"/>
        </w:rPr>
        <w:t xml:space="preserve"> ao longo dos próximos anos, das quais as projeções contabilizam, conservadoramente, apenas 75–90 mil t. As frentes demandam todo o portfólio do projeto: concreto estrutural (Britas 0 e 1) nas galerias e pontes, base e sub-base granular (BGS) nas rodovias, CBUQ (pedrisco) e assentamento de pavimento intertravado (pó de pedra) — padrão construtivo predominante na região.</w:t>
      </w:r>
    </w:p>
    <w:p>
      <w:pPr>
        <w:spacing w:after="160"/>
      </w:pPr>
      <w:r>
        <w:rPr>
          <w:b w:val="0"/>
          <w:i w:val="0"/>
          <w:color w:val="000000"/>
        </w:rPr>
        <w:t>No setor privado, operam na praça centrais de concreto de grupos consolidados (Polimix e Pedramix), consumidoras contínuas de brita e areia industrial. O escoamento das frações finas — historicamente as de venda mais difícil em pedreiras entrantes — apoia-se no padrão construtivo predominante da região, o pavimento intertravado, que consome pó de pedra no assentamento e na fabricação dos blocos, e nas rotas técnicas de recomposição em brita graduada simples e de areia de brita</w:t>
      </w:r>
      <w:r>
        <w:rPr>
          <w:b w:val="0"/>
          <w:i w:val="0"/>
          <w:color w:val="C00000"/>
        </w:rPr>
        <w:t xml:space="preserve"> (produzida na câmara F-Sand do próprio britador cônico). Registre-se que o circuito de britagem, fechado e sem etapa de lavagem, comercializa todas as frações produzidas — o próprio material de escalpe é vendido como bica corrida —, de modo que a operação não gera rejeito de processo.</w:t>
      </w:r>
    </w:p>
    <w:p>
      <w:pPr>
        <w:spacing w:after="160"/>
      </w:pPr>
      <w:r>
        <w:rPr>
          <w:b w:val="0"/>
          <w:i w:val="0"/>
          <w:color w:val="000000"/>
        </w:rPr>
        <w:t xml:space="preserve">Há ainda potencial adicional não contabilizado nas projeções: o Terminal Portuário de Urussuquara (Petrocity), </w:t>
      </w:r>
      <w:r>
        <w:rPr>
          <w:b w:val="0"/>
          <w:i w:val="0"/>
          <w:color w:val="C00000"/>
        </w:rPr>
        <w:t>cujo processo de licenciamento tramita no IBAMA desde 2021, com EIA/Rima protocolado e audiência pública realizada em 2023,</w:t>
      </w:r>
      <w:r>
        <w:rPr>
          <w:b w:val="0"/>
          <w:i w:val="0"/>
          <w:color w:val="000000"/>
        </w:rPr>
        <w:t xml:space="preserve"> demandaria enrocamento e concreto em volume de outra ordem de grandeza caso as obras se confirmem.</w:t>
      </w:r>
    </w:p>
    <w:p>
      <w:pPr>
        <w:spacing w:after="160"/>
      </w:pPr>
      <w:r>
        <w:rPr>
          <w:b w:val="0"/>
          <w:i w:val="0"/>
          <w:color w:val="000000"/>
        </w:rPr>
        <w:t>Em síntese, mesmo sob a definição mais conservadora de mercado a oferta instalada confirma a lacuna, uma vez que não há extração de brita ativa em São Mateus, registrando-se</w:t>
      </w:r>
      <w:r>
        <w:rPr>
          <w:b w:val="0"/>
          <w:i w:val="0"/>
          <w:color w:val="C00000"/>
        </w:rPr>
        <w:t>, como concorrente na cidade, apenas</w:t>
      </w:r>
      <w:r>
        <w:rPr>
          <w:b w:val="0"/>
          <w:i w:val="0"/>
          <w:color w:val="000000"/>
        </w:rPr>
        <w:t xml:space="preserve"> um pátio de beneficiamento e distribuição de uma pedreira que tem sua sede em Pinheiros (~70 km) — e, </w:t>
      </w:r>
      <w:r>
        <w:rPr>
          <w:b w:val="0"/>
          <w:i w:val="0"/>
          <w:color w:val="C00000"/>
        </w:rPr>
        <w:t>no entorno imediato</w:t>
      </w:r>
      <w:r>
        <w:rPr>
          <w:b w:val="0"/>
          <w:i w:val="0"/>
          <w:color w:val="000000"/>
        </w:rPr>
        <w:t xml:space="preserve">, o único produtor é uma operação de pequena escala em Jaguaré (~40 km da sede), com vendas da ordem de 5 mil t em 2025 pela base de arrecadação da CFEM (ANM, granito/ES). Os produtores diretos de porte operam em locais mais distantes: o maior a </w:t>
      </w:r>
      <w:r>
        <w:rPr>
          <w:b w:val="0"/>
          <w:i w:val="0"/>
          <w:color w:val="C00000"/>
        </w:rPr>
        <w:t>~100 km</w:t>
      </w:r>
      <w:r>
        <w:rPr>
          <w:b w:val="0"/>
          <w:i w:val="0"/>
          <w:color w:val="000000"/>
        </w:rPr>
        <w:t xml:space="preserve"> (unidade em Rio Bananal, ~360 mil t/ano) e os demais a 60–70 km (Nova Venécia e Pinheiros). A jazida da CIPREM está a ~35 km da sede do município: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C00000"/>
        </w:rPr>
        <w:t>Ou seja: a demanda corrente do mercado-base, de 235 a 275 mil t/ano, é da mesma ordem de grandeza do platô de produção do projeto — 237.516 t/ano (90% do teto licenciado), alcançado a partir do 3º ano de operação. A leitura correta da participação, porém, não é contra essa linha de base, e sim contra o mercado efetivamente endereçável, que soma às duas praças-base as praças disputadas de Jaguaré e Boa Esperança (36–78 mil t/ano), as praças alcançáveis por entrega própria em Nova Venécia e Pinheiros (62–131 mil t/ano) e as obras públicas catalogadas (70–100 mil t/ano): 405 a 584 mil t/ano. Contra essa base, o platô representa 41% a 59% — participação compatível com um entrante que é o único produtor instalado no seu mercado-base. A projeção não supõe captura integral em nenhuma praça: aplicando pesos de penetração praça a praça — 65% em São Mateus (mesmo sendo o único produtor do município), 25% em Conceição da Barra, 20% em Jaguaré, 15% em Boa Esperança, 10% nas praças-sede de concorrente e 60% nas obras públicas —, a captura resulta em 200 a 248 mil t/ano, faixa que comporta o platô. A condição dessa conta é dita com clareza: a sede sozinha não sustenta o platô — a diferença vem das praças vizinhas, onde a CIPREM entra entregando com frota própria, programa já orçado no investimento (dois conjuntos de carreta) e praticado pela unidade do grupo na Bahia, que converte R$ 74/t na porteira em R$ 116/t médios realizados.</w:t>
      </w:r>
    </w:p>
    <w:p>
      <w:pPr>
        <w:spacing w:after="160"/>
      </w:pPr>
      <w:r>
        <w:rPr>
          <w:b w:val="0"/>
          <w:i w:val="0"/>
          <w:color w:val="000000"/>
        </w:rPr>
        <w:t>O empreendimento situa-se na área de atuação da SUDENE, beneficiando-se dos instrumentos de fomento do FNE, e está alinhado às diretrizes da Política Nacional de Desenvolvimento Regional: substitui suprimento de longa distância por produção local, reduz custo de construção na região, gera emprego e renda no interior do Espírito Santo e fortalece a infraestrutura para os investimentos públicos e privados do norte capixaba.</w:t>
      </w:r>
    </w:p>
    <w:p>
      <w:pPr>
        <w:spacing w:after="80"/>
      </w:pPr>
      <w:r>
        <w:rPr>
          <w:b w:val="0"/>
          <w:i w:val="0"/>
          <w:color w:val="000000"/>
        </w:rPr>
      </w:r>
    </w:p>
    <w:p>
      <w:pPr>
        <w:spacing w:after="160"/>
      </w:pPr>
      <w:r>
        <w:rPr>
          <w:b/>
          <w:i w:val="0"/>
          <w:color w:val="C00000"/>
        </w:rPr>
        <w:t>NOTA DE REVISÃO — não integra o texto da carta</w:t>
      </w:r>
    </w:p>
    <w:p>
      <w:pPr>
        <w:spacing w:after="160"/>
      </w:pPr>
      <w:r>
        <w:rPr>
          <w:b w:val="0"/>
          <w:i w:val="0"/>
          <w:color w:val="C00000"/>
        </w:rPr>
        <w:t>Suprimidos (supressão não aparece em vermelho no corpo): (1) o parágrafo “Aplicado à sede… núcleo de quatro municípios (208.951 hab)… ≈ 285 mil t/ano” — resquício de versão anterior, internamente contraditório (afirma ~220 mil duas vezes e a memória de cálculo dá 285 mil) e incompatível com a régua de frete, que mostra Jaguaré (−R$ 29,1/t) e Boa Esperança (−R$ 7,3/t) como praças de desvantagem, não de “vantagem logística”; a linha FONTE duplicada saiu junto. (2) A menção “a ~25 km de Boa Esperança” — refutada pelo teste rodovia ≥ linha reta (linha reta 25,1 km; rodovia 32–36 km) e substituída pelo corredor de Nestor Gomes. (3) “…62 mil t/ano imediatamente capturáveis” — premissa antiga de captura (35%/15%), substituída pelos pesos por praça (200–248 mil t/ano). (4) A frase duplicada do programa de R$ 1 bilhão de Guriri. (5) O somatório “305 a 375 mil t/ano” — substituído pelo mercado endereçável de 405–584 mil t/ano. (6) “~271 mil t/ano” — era o índice pleno aplicado aos dois municípios, contradizendo o próprio método declarado (metade do índice em Conceição da Barra) e a faixa 235–275 citada na síntese.</w:t>
      </w:r>
    </w:p>
    <w:p>
      <w:pPr>
        <w:spacing w:after="160"/>
      </w:pPr>
      <w:r>
        <w:rPr>
          <w:b w:val="0"/>
          <w:i w:val="0"/>
          <w:color w:val="C00000"/>
        </w:rPr>
        <w:t>População do mercado-base: harmonizada em 161.881 hab com o Estudo de Mercado anexo (Conceição da Barra pelo Censo 2022, sem estimativa 2025 localizada nas fontes consultadas). Se houver estimativa IBGE 2025 para Conceição da Barra (28.923 hab, que explicaria os 163.346 do texto original), mantém-se 163.346 aqui e atualiza-se o Estudo — informar a fonte.</w:t>
      </w:r>
    </w:p>
    <w:p>
      <w:pPr>
        <w:spacing w:after="160"/>
      </w:pPr>
      <w:r>
        <w:rPr>
          <w:b w:val="0"/>
          <w:i w:val="0"/>
          <w:color w:val="C00000"/>
        </w:rPr>
        <w:t>Pendência nova (informação do cliente): roteirizar a distância jazida (km 35) → Jaguaré pela estrada nova. A régua atual usa ~40 km; se a rota nova encurtar, a posição em Jaguaré melhora e o peso de captura de 20% ganha reforço.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