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restringe-se aos municípios que satisfazem dois critérios cumulativos: ausência de produtor de brita instalado e posição dentro do raio econômico do frete. São eles São Mateus, Conceição da Barra e Boa Esperança (177.400 habitantes — IBGE, estimativas 2025). A demanda corrente nesse mercado-base é estimada em cerca de 296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e a Boa Esperança ainda resulta em ~260 mil t/ano, acima do platô do projeto. A praça vizinha de Jaguaré (31,6 mil habitantes; 26–53 mil t/ano) foi mantida fora da linha de base por ter um pequeno produtor instalado, e permanece,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(66,8 km), e a operação mais próxima, de pequena escala (~5 mil t em 2025 pela base de arrecadação da CFEM — ANM, granito/ES), fica em Jaguaré, a 57,1 km da sede, fora do mercado-base. Cabe distinguir duas funções que os documentos anteriores tratavam como uma só: essa operação de Jaguaré é o produtor mais próximo de São Mateus e serve de referência de preço na praça, mas nem nisso alcança a CIPREM — chega à sede de 57,1 km contra 40,7 km, R$ 14,9 por tonelada atrás no frete — e vendeu menos de um quinto da demanda do próprio município onde se instala, sem escala para disputar volume. Quem limita volume são os produtores de porte: a pedreira de Pinheiros, a 66,8 km, contra a qual a vantagem de frete da CIPREM é de R$ 23,8 por tonelada, e a de Nova Venécia, a 75,5 km, contra a qual chega a R$ 31,7 — da ordem de um quarto a um terço do preço posto na obra. O maior produtor da região opera a ~100 km (unidade em Rio Bananal, ~360 mil t/ano), com parte do suprimento vindo do eixo Linhares–Aracruz (85–140 km). A jazida da CIPREM está a 40,7 km da sede de São Mateus — distância medida em roteirizador a partir da coordenada do empreendimento registrada no PAE —, dentro do próprio município: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139–224 mil t/ano de demanda de produtos de britagem durante a janela de obras — fração derivada das composições de cada frente, e não do coeficiente nacional de 42% que a versão anterior aplicava — e destravam um potencial estrutural maior: a malha planejada de Guriri (11 avenidas e 31 ruas ao longo de ~8 km) permanece majoritariamente sem pavimentação definitiva, e sua pavimentação completa, viabilizada justamente pela macrodrenagem em curso, foi levantada sobre as plantas dos 21 loteamentos e auditada em 637 pontos verificados um a um em campo virtual (517 em Street View e 120 em satélite), todos listados individualmente com coordenada e data de imagem: 193,4 km em 437 vias, das quais apenas 26,6% pavimentadas. Faltam 1.216.547 m² de pista — área pela caixa de via de cada planta — e 554.203 m² de calçada — 874–1.144 mil t de agregados, dos quais 751–951 mil t de produtos de britagem, pela banda composicional das tabelas oficiais DER-ES/SINAPI (memória anexa; 704–892 mil t pelo piso de largura declarado) —, espalhados por cerca de uma década pela própria lógica construtiva (pavimenta-se depois de drenar, bacia a bacia; a Bacia 1 corre por 1.620 dias), estoque do qual as projeções de receita NÃO contabilizam nenhuma tonelada, e ao qual esta carta deliberadamente não atribui volume anual nem prazo — o ritmo depende de decisão orçamentária do Estado e do Município; o que se afirma é a existência e a magnitude, equivalentes a 3,2 a 4,0 anos de produção integral da unidade no platô — e as Bacias 1 e 2 cobrem só 20,5% da pista que falta, restando 43 anos de pavimentação ao ritmo contratual do Estado (21 anos com duas bacias simultâneas), contra os 14 anos do financiamento.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adotada de mercado — os três municípios sem produtor instalado e dentro do raio econômico do frete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(139–224 mil t/ano): 490–701 mil t/ano. Contra essa base, o platô de 237.516 t/ano representa 34% a 48% — participação compatível com um entrante que é o único produtor instalado no seu mercado-base. Pela via de baixo para cima, aplicando pesos de penetração praça a praça — 65% em São Mateus, 25% em Conceição da Barra, 15% em Boa Esperança, 20% em Jaguaré, 10% nas praças-sede de concorrente e 60% nas obras públicas —, a captura resulta em 248–320 mil t/ano — faixa cujo PISO já supera o platô de 237.516 t/ano, de modo que a restrição do projeto passa a ser de capacidade de produção, e não de mercado. Registre-se com clareza a condição dessa conta: a sede sozinha não sustenta o platô, e a diferença vem das praças vizinhas, onde a CIPREM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de 66,8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