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2" w:name="estudo-de-mercado-e-plano-mercadológico"/>
    <w:p>
      <w:pPr>
        <w:pStyle w:val="Heading1"/>
      </w:pPr>
      <w:r>
        <w:t xml:space="preserve">ESTUDO DE MERCADO E PLANO MERCADOLÓGICO</w:t>
      </w:r>
    </w:p>
    <w:bookmarkStart w:id="21" w:name="X6121f7e333482b4bef18eb9a4b6772aaf72d49c"/>
    <w:p>
      <w:pPr>
        <w:pStyle w:val="Heading2"/>
      </w:pPr>
      <w:r>
        <w:t xml:space="preserve">GTK PRÉ-MOLDADOS LTDA — Fábrica de Blocos de Concreto e Pavers</w:t>
      </w:r>
    </w:p>
    <w:bookmarkStart w:id="20" w:name="X8202b8de4f3690598c5dba8c435fa731c9e5758"/>
    <w:p>
      <w:pPr>
        <w:pStyle w:val="Heading3"/>
      </w:pPr>
      <w:r>
        <w:t xml:space="preserve">Rodovia BR-381 (Miguel Curry Carneiro), km 35, Zona Rural, São Mateus – ES</w:t>
      </w:r>
    </w:p>
    <w:p>
      <w:pPr>
        <w:pStyle w:val="FirstParagraph"/>
      </w:pPr>
      <w:r>
        <w:rPr>
          <w:bCs/>
          <w:b/>
        </w:rPr>
        <w:t xml:space="preserve">Preparado para:</w:t>
      </w:r>
      <w:r>
        <w:t xml:space="preserve"> </w:t>
      </w:r>
      <w:r>
        <w:t xml:space="preserve">GTK Pré-Moldados Ltda (CNPJ 66.492.016/0001-77) e seus sócios investidores</w:t>
      </w:r>
      <w:r>
        <w:t xml:space="preserve"> </w:t>
      </w:r>
      <w:r>
        <w:rPr>
          <w:bCs/>
          <w:b/>
        </w:rPr>
        <w:t xml:space="preserve">Finalidade:</w:t>
      </w:r>
      <w:r>
        <w:t xml:space="preserve"> </w:t>
      </w:r>
      <w:r>
        <w:t xml:space="preserve">Instrução de operação de crédito (BNB/FNE ou instituição congênere) e capacitação do investidor no ramo de artefatos de concreto</w:t>
      </w:r>
      <w:r>
        <w:t xml:space="preserve"> </w:t>
      </w:r>
      <w:r>
        <w:rPr>
          <w:bCs/>
          <w:b/>
        </w:rPr>
        <w:t xml:space="preserve">Data-base:</w:t>
      </w:r>
      <w:r>
        <w:t xml:space="preserve"> </w:t>
      </w:r>
      <w:r>
        <w:t xml:space="preserve">agosto de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6" w:name="apresentação"/>
    <w:p>
      <w:pPr>
        <w:pStyle w:val="Heading1"/>
      </w:pPr>
      <w:r>
        <w:t xml:space="preserve">1. APRESENTAÇÃO</w:t>
      </w:r>
    </w:p>
    <w:bookmarkStart w:id="23" w:name="objetivo-do-estudo"/>
    <w:p>
      <w:pPr>
        <w:pStyle w:val="Heading2"/>
      </w:pPr>
      <w:r>
        <w:t xml:space="preserve">1.1 Objetivo do estudo</w:t>
      </w:r>
    </w:p>
    <w:p>
      <w:pPr>
        <w:pStyle w:val="FirstParagraph"/>
      </w:pPr>
      <w:r>
        <w:t xml:space="preserve">Este estudo de mercado tem dupla finalidade. A primeira é compor a seção mercadológica do plano de negócios da GTK Pré-Moldados Ltda, oferecendo ao analista de crédito a demonstração fundamentada de que existe demanda regional suficiente para absorver a produção da nova fábrica de artefatos de concreto que a empresa está implantando no km 35 da Rodovia BR-381 (trecho Miguel Curry Carneiro, eixo São Mateus–Nova Venécia), zona rural de São Mateus – ES. A segunda finalidade é didática: servir de manual de entrada no ramo para os sócios investidores, reunindo em um único documento o funcionamento técnico da planta, o portfólio de produtos possíveis, a cadeia de fornecedores, o mapa de clientes potenciais, os riscos do negócio e as práticas de gestão que separam as fábricas de blocos que prosperam daquelas que fecham.</w:t>
      </w:r>
    </w:p>
    <w:bookmarkEnd w:id="23"/>
    <w:bookmarkStart w:id="24" w:name="metodologia"/>
    <w:p>
      <w:pPr>
        <w:pStyle w:val="Heading2"/>
      </w:pPr>
      <w:r>
        <w:t xml:space="preserve">1.2 Metodologia</w:t>
      </w:r>
    </w:p>
    <w:p>
      <w:pPr>
        <w:pStyle w:val="FirstParagraph"/>
      </w:pPr>
      <w:r>
        <w:t xml:space="preserve">O estudo seguiu metodologia estruturada em quatro fases: (i) briefing e caracterização do empreendimento a partir dos documentos societários e da proposta técnico-comercial do fornecedor dos equipamentos (Gervasi Brasil, orçamento REV00 de 12/05/2026); (ii) coleta de dados em fontes públicas oficiais (IBGE, SNIC, ANEEL, IEMA, SINAPI/Caixa, Sebrae, Sudene/BNB) e setoriais (ABCP, BlocoBrasil, Sinduscon-ES, IJSN), complementada por levantamento de concorrentes, fornecedores e compradores na área de influência; (iii) análise e dimensionamento do mercado pelo método da área de influência ponderada, com triangulação top-down (consumo de cimento e parâmetros setoriais) e bottom-up (obras, licitações e canais de revenda); e (iv) consolidação das conclusões com matriz de riscos e recomendações estratégicas. O estudo passou ainda por</w:t>
      </w:r>
      <w:r>
        <w:t xml:space="preserve"> </w:t>
      </w:r>
      <w:r>
        <w:rPr>
          <w:bCs/>
          <w:b/>
        </w:rPr>
        <w:t xml:space="preserve">auditoria interna de consistência</w:t>
      </w:r>
      <w:r>
        <w:t xml:space="preserve">: todos os números derivados foram recalculados por script e estão documentados, fórmula a fórmula, no</w:t>
      </w:r>
      <w:r>
        <w:t xml:space="preserve"> </w:t>
      </w:r>
      <w:r>
        <w:rPr>
          <w:bCs/>
          <w:b/>
        </w:rPr>
        <w:t xml:space="preserve">Apêndice A — Memória de Cálculo</w:t>
      </w:r>
      <w:r>
        <w:t xml:space="preserve">; a rastreabilidade afirmação-a-fonte consta do arquivo anexo de auditoria de fontes. Onde um parâmetro não possui fonte pública, o texto o declara explicitamente como premissa técnica e apresenta a sensibilidade do resultado a ela.</w:t>
      </w:r>
    </w:p>
    <w:p>
      <w:pPr>
        <w:pStyle w:val="BodyText"/>
      </w:pPr>
      <w:r>
        <w:t xml:space="preserve">Todos os dados factuais citados trazem referência numerada entre colchetes, com o link correspondente listado na seção Referências ao final do documento, para conferência direta pelo analista.</w:t>
      </w:r>
    </w:p>
    <w:bookmarkEnd w:id="24"/>
    <w:bookmarkStart w:id="25" w:name="limitações"/>
    <w:p>
      <w:pPr>
        <w:pStyle w:val="Heading2"/>
      </w:pPr>
      <w:r>
        <w:t xml:space="preserve">1.3 Limitações</w:t>
      </w:r>
    </w:p>
    <w:p>
      <w:pPr>
        <w:pStyle w:val="FirstParagraph"/>
      </w:pPr>
      <w:r>
        <w:t xml:space="preserve">A GTK é empresa constituída em 28/04/2026, sem histórico operacional; portanto, projeções apoiam-se em parâmetros setoriais e em premissas explícitas, sempre em cenário conservador. Alguns preços regionais de insumos e produtos foram obtidos de tabelas referenciais oficiais (SINAPI-ES) e de fontes indicativas nacionais, devendo ser calibrados com cotações locais na fase de implantação; onde isso ocorre, o texto sinaliza. A política de rede do ambiente de pesquisa impediu a abertura direta de algumas páginas, cujos dados foram então extraídos dos resultados indexados da busca — os links citados permanecem verificáveis pelo leitor.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o-empreendimento"/>
    <w:p>
      <w:pPr>
        <w:pStyle w:val="Heading1"/>
      </w:pPr>
      <w:r>
        <w:t xml:space="preserve">2. O EMPREENDIMENTO</w:t>
      </w:r>
    </w:p>
    <w:bookmarkStart w:id="27" w:name="a-empresa"/>
    <w:p>
      <w:pPr>
        <w:pStyle w:val="Heading2"/>
      </w:pPr>
      <w:r>
        <w:t xml:space="preserve">2.1 A empresa</w:t>
      </w:r>
    </w:p>
    <w:p>
      <w:pPr>
        <w:pStyle w:val="FirstParagraph"/>
      </w:pPr>
      <w:r>
        <w:t xml:space="preserve">A GTK Pré-Moldados Ltda, CNPJ 66.492.016/0001-77, é sociedade empresária limitada constituída em 28/04/2026 e registrada na JUCEES sob NIRE 32203848094, com sede na Rodovia BR-381, s/n, km 35, Zona Rural, São Mateus – ES, CEP 29.942-010. O capital social subscrito é de R$ 7.500.000,00, dos quais R$ 100.000,00 integralizados no ato e o restante a integralizar até 28/04/2036, dividido igualmente entre os sócios Tairony Boldrini Bolsanello e Kauã Boldrini Bolsanello (administrador), ambos residentes em Nova Venécia – ES. A empresa está ativa perante a Receita Federal e detém Inscrição Estadual nº 084943092, emitida em 28/04/2026 via protocolo REDESIM ESB2600138519 — o que indica que a consulta prévia de viabilidade locacional da atividade no endereço foi processada pelo integrador estadual (Simplifica-ES).</w:t>
      </w:r>
    </w:p>
    <w:p>
      <w:pPr>
        <w:pStyle w:val="BodyText"/>
      </w:pPr>
      <w:r>
        <w:t xml:space="preserve">O objeto social abrange cinco CNAEs da divisão 23.30-3: fabricação de artefatos de cimento para uso na construção (23.30-3/02, atividade principal), artefatos de fibrocimento (23.30-3/03), casas pré-moldadas de concreto (23.30-3/04), preparação de massa de concreto e argamassa (23.30-3/05) e outros artefatos de concreto, cimento e gesso (23.30-3/99). O leque de CNAEs é adequado e dá cobertura legal para todo o portfólio produzível pela planta e para expansões futuras (argamassas, pré-moldados maiores).</w:t>
      </w:r>
    </w:p>
    <w:p>
      <w:pPr>
        <w:pStyle w:val="BodyText"/>
      </w:pPr>
      <w:r>
        <w:rPr>
          <w:bCs/>
          <w:b/>
        </w:rPr>
        <w:t xml:space="preserve">Desambiguação do nicho.</w:t>
      </w:r>
      <w:r>
        <w:t xml:space="preserve"> </w:t>
      </w:r>
      <w:r>
        <w:t xml:space="preserve">Dentro do CNAE 23.30-3/02, o nicho específico da GTK é a</w:t>
      </w:r>
      <w:r>
        <w:t xml:space="preserve"> </w:t>
      </w:r>
      <w:r>
        <w:rPr>
          <w:bCs/>
          <w:b/>
        </w:rPr>
        <w:t xml:space="preserve">fabricação vibroprensada de blocos de concreto (vedação e estruturais) e de pavimentação intertravada (pavers) e artefatos correlatos</w:t>
      </w:r>
      <w:r>
        <w:t xml:space="preserve"> </w:t>
      </w:r>
      <w:r>
        <w:t xml:space="preserve">— segmento com dinâmica de mercado, concorrência e clientes distintos de outros artefatos de cimento (tubos, postes, lajes). Todo o dimensionamento deste estudo refere-se a esse nicho.</w:t>
      </w:r>
    </w:p>
    <w:bookmarkEnd w:id="27"/>
    <w:bookmarkStart w:id="28" w:name="o-investimento"/>
    <w:p>
      <w:pPr>
        <w:pStyle w:val="Heading2"/>
      </w:pPr>
      <w:r>
        <w:t xml:space="preserve">2.2 O investimento</w:t>
      </w:r>
    </w:p>
    <w:p>
      <w:pPr>
        <w:pStyle w:val="FirstParagraph"/>
      </w:pPr>
      <w:r>
        <w:t xml:space="preserve">O investimento em equipamentos objeto deste estudo é a linha de produção automática Gervasi XP350, conforme proposta comercial REV00 de 12/05/2026 (complemento de planta com itens do contrato XP650), no valor total de</w:t>
      </w:r>
      <w:r>
        <w:t xml:space="preserve"> </w:t>
      </w:r>
      <w:r>
        <w:rPr>
          <w:bCs/>
          <w:b/>
        </w:rPr>
        <w:t xml:space="preserve">R$ 2.723.000,00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Equipamento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(R$)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Vibroprensa GERVASI XP350 + molde de bloco 14x19x39 + transportadores de bandejas NA 350 – ND 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774.000,00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Dispositivo acumulador e descarregador de bandejas (AM 02 – DM 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Esteira transportadora 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Esteira transportadora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Misturador de concreto MXS-1000 kg c/ automação de água e aditivo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Balança de dosagem de 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de agregados 4 cubas GERVASI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323.000,00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Silo de cimento 90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Rosca transportadora de cimento 7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paletização automático ST800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753.000,00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2.723.000,00</w:t>
            </w:r>
          </w:p>
        </w:tc>
      </w:tr>
    </w:tbl>
    <w:p>
      <w:pPr>
        <w:pStyle w:val="BodyText"/>
      </w:pPr>
      <w:r>
        <w:t xml:space="preserve">Condições registradas na proposta: R$ 600.000,00 já pagos; parcelas de R$ 300.000,00 aos 30/60/90/120/150 dias do sinal e saldo de R$ 623.000,00 contra aviso de embarque; frete FOB Içara – SC; prazo de fabricação e entrega de 150 a 180 dias da assinatura e cerca de 10 dias de montagem; garantia de 1 ano.</w:t>
      </w:r>
    </w:p>
    <w:p>
      <w:pPr>
        <w:pStyle w:val="BodyText"/>
      </w:pPr>
      <w:r>
        <w:t xml:space="preserve">A configuração adquirida é do padrão</w:t>
      </w:r>
      <w:r>
        <w:t xml:space="preserve"> </w:t>
      </w:r>
      <w:r>
        <w:t xml:space="preserve">“</w:t>
      </w:r>
      <w:r>
        <w:t xml:space="preserve">planta totalmente automática</w:t>
      </w:r>
      <w:r>
        <w:t xml:space="preserve">”</w:t>
      </w:r>
      <w:r>
        <w:t xml:space="preserve">: dosagem de agregados por central de 4 cubas, pesagem de cimento em balança dedicada, mistura com automação de água e aditivo, alimentação por esteiras, vibroprensagem com supervisório em tempo real, circulação automática de bandejas (acumulador/descarregador) e paletização automática ST800. Na prática, isso significa produção contínua com equipe direta enxuta (5 a 7 pessoas por turno, incluindo operador de pá carregadeira e empilhadeira/expedição) e qualidade estável — condição indispensável para certificação pela NBR 6136 e venda para obras estruturais e licitações públicas.</w:t>
      </w:r>
    </w:p>
    <w:p>
      <w:pPr>
        <w:pStyle w:val="BodyText"/>
      </w:pPr>
      <w:r>
        <w:rPr>
          <w:bCs/>
          <w:b/>
        </w:rPr>
        <w:t xml:space="preserve">Investimentos complementares não inclusos na proposta</w:t>
      </w:r>
      <w:r>
        <w:t xml:space="preserve"> </w:t>
      </w:r>
      <w:r>
        <w:t xml:space="preserve">(necessários à operação e detalhados no capítulo financeiro): galpão industrial e obras civis, terraplanagem, bandejas de produção, estruturas-suporte, gaiolas/câmara de cura, pá carregadeira, compressor de ar (7 bar, 5,5 HP), reservatório e rede de água (3–4 bar, 200 L/min), entrada de energia rebaixada (consumo inferior a 90 kVA), cabos de alimentação até o quadro QA350 e a montagem dos equipamentos.</w:t>
      </w:r>
    </w:p>
    <w:bookmarkEnd w:id="28"/>
    <w:bookmarkStart w:id="29" w:name="a-localização-e-sua-lógica-estratégica"/>
    <w:p>
      <w:pPr>
        <w:pStyle w:val="Heading2"/>
      </w:pPr>
      <w:r>
        <w:t xml:space="preserve">2.3 A localização e sua lógica estratégica</w:t>
      </w:r>
    </w:p>
    <w:p>
      <w:pPr>
        <w:pStyle w:val="FirstParagraph"/>
      </w:pPr>
      <w:r>
        <w:t xml:space="preserve">A planta situa-se no km 35 da rodovia estadual conhecida como BR-381/ES-381</w:t>
      </w:r>
      <w:r>
        <w:t xml:space="preserve"> </w:t>
      </w:r>
      <w:r>
        <w:t xml:space="preserve">“</w:t>
      </w:r>
      <w:r>
        <w:t xml:space="preserve">Miguel Curry Carneiro</w:t>
      </w:r>
      <w:r>
        <w:t xml:space="preserve">”</w:t>
      </w:r>
      <w:r>
        <w:t xml:space="preserve">, o eixo rodoviário pavimentado de 64 a 67 km que liga São Mateus a Nova Venécia [1]. O ponto fica na divisa dos distritos rurais de Nova Verona/Nova Aimorés (km 20 a 37) e Nestor Gomes (km 37 em diante) [2][3], região de vilas populosas do interior mateense (Nestor Gomes/</w:t>
      </w:r>
      <w:r>
        <w:t xml:space="preserve">“</w:t>
      </w:r>
      <w:r>
        <w:t xml:space="preserve">KM 35</w:t>
      </w:r>
      <w:r>
        <w:t xml:space="preserve">”</w:t>
      </w:r>
      <w:r>
        <w:t xml:space="preserve">, KM 23, KM 41, Santa Leocádia, Nova Verona, Dilô Barbosa, Itauninhas), e praticamente equidistante dos dois maiores centros urbanos do norte capixaba fora do eixo litorâneo: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São Mateus (sede)</w:t>
      </w:r>
      <w:r>
        <w:t xml:space="preserve">: ~35 km a leste — 8º município mais populoso do ES, 123.750 habitantes no Censo 2022 [4][5];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Nova Venécia</w:t>
      </w:r>
      <w:r>
        <w:t xml:space="preserve">: ~30 km a oeste — 49.065 habitantes no Censo 2022 [6][7];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Jaguaré</w:t>
      </w:r>
      <w:r>
        <w:t xml:space="preserve">: ~30–40 km ao sul, pela ligação vicinal a partir da própria região do km 35/km 41 — 28.931 habitantes [6];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Vila Valério, Boa Esperança, São Gabriel da Palha, Conceição da Barra, Pedro Canário, Pinheiros e Sooretama</w:t>
      </w:r>
      <w:r>
        <w:t xml:space="preserve"> </w:t>
      </w:r>
      <w:r>
        <w:t xml:space="preserve">compõem o segundo anel, entre 40 e 80 km.</w:t>
      </w:r>
    </w:p>
    <w:p>
      <w:pPr>
        <w:pStyle w:val="FirstParagraph"/>
      </w:pPr>
      <w:r>
        <w:t xml:space="preserve">Essa posição é uma vantagem competitiva objetiva num produto em que o frete é decisivo: bloco de concreto é mercadoria de baixo valor unitário e alto peso — um caminhão truck de carga útil de 13–14 t transporta cerca de 1.100 a 1.180 blocos de 14 cm (~11,9 kg cada [44]) —, de modo que o raio econômico de entrega raramente ultrapassa 80 a 120 km. Instalada no centro geométrico do quadrilátero São Mateus–Nova Venécia–Jaguaré–Boa Esperança, a GTK alcança com frete curto um conjunto urbano e rural que os concorrentes da Grande Vitória (a mais de 200 km) só atendem com frete caro, e que as fábricas litorâneas atendem apenas parcialmente. Além disso, a rodovia é asfaltada, com obras recentes de recuperação pelo DER-ES no próprio trecho [8], e conecta a planta em uma ponta à BR-101 (corredor norte–sul do estado, acesso a Linhares, Sooretama e ao litoral) e na outra ao polo granítico e cafeeiro de Nova Venécia, com prolongamento natural a Vila Pavão, Barra de São Francisco e ao noroeste do estado.</w:t>
      </w:r>
    </w:p>
    <w:p>
      <w:pPr>
        <w:pStyle w:val="BodyText"/>
      </w:pPr>
      <w:r>
        <w:t xml:space="preserve">Do ponto de vista de suprimento, a localização também é favorável: a pedreira mais próxima mapeada (Mineração Usibrita, Jaguaré) está a cerca de 35–45 km [9], há madeireiras e fábricas de paletes em São Mateus e Linhares [10], e o cimento a granel pode ser recebido de moagens da Grande Vitória (~220 km) diretamente no silo de 90 t — cuja autonomia, de aproximadamente duas semanas de produção em um turno, protege a operação da distância da cimenteira.</w:t>
      </w:r>
    </w:p>
    <w:bookmarkEnd w:id="29"/>
    <w:bookmarkStart w:id="30" w:name="cenário-estratégico"/>
    <w:p>
      <w:pPr>
        <w:pStyle w:val="Heading2"/>
      </w:pPr>
      <w:r>
        <w:t xml:space="preserve">2.4 Cenário estratégico</w:t>
      </w:r>
    </w:p>
    <w:p>
      <w:pPr>
        <w:pStyle w:val="FirstParagraph"/>
      </w:pPr>
      <w:r>
        <w:t xml:space="preserve">O cenário é de</w:t>
      </w:r>
      <w:r>
        <w:t xml:space="preserve"> </w:t>
      </w:r>
      <w:r>
        <w:rPr>
          <w:bCs/>
          <w:b/>
        </w:rPr>
        <w:t xml:space="preserve">abertura de empresa com implantação de capacidade industrial nova</w:t>
      </w:r>
      <w:r>
        <w:t xml:space="preserve"> </w:t>
      </w:r>
      <w:r>
        <w:t xml:space="preserve">em mercado já existente e atendido de forma incompleta. As perguntas que este estudo responde são, portanto: há demanda regional para absorver a produção? Quantos concorrentes disputam essa demanda e com que forças? Que canais e clientes a GTK deve priorizar? Quais riscos podem comprometer o plano e como mitigá-los?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3a9e5a6d36a4695b2fc3372915b73f70e3e6967"/>
    <w:p>
      <w:pPr>
        <w:pStyle w:val="Heading1"/>
      </w:pPr>
      <w:r>
        <w:t xml:space="preserve">3. A FÁBRICA POR DENTRO: PRODUTOS, CAPACIDADES E OPERAÇÃO (GUIA TÉCNICO DO INVESTIDOR)</w:t>
      </w:r>
    </w:p>
    <w:p>
      <w:pPr>
        <w:pStyle w:val="FirstParagraph"/>
      </w:pPr>
      <w:r>
        <w:t xml:space="preserve">Este capítulo cumpre um papel formativo: explicar ao investidor, sem pressupor conhecimento prévio do ramo, o que exatamente a planta é capaz de produzir, em que quantidades máximas, e como as decisões operacionais (mix de produtos, trocas de molde, turnos, cura) determinam o faturamento possível.</w:t>
      </w:r>
    </w:p>
    <w:bookmarkStart w:id="32" w:name="X6174d95cf53d6fac7eaf84c9ae32f8ace5efd11"/>
    <w:p>
      <w:pPr>
        <w:pStyle w:val="Heading2"/>
      </w:pPr>
      <w:r>
        <w:t xml:space="preserve">3.1 Como funciona uma linha de vibroprensagem</w:t>
      </w:r>
    </w:p>
    <w:p>
      <w:pPr>
        <w:pStyle w:val="FirstParagraph"/>
      </w:pPr>
      <w:r>
        <w:t xml:space="preserve">O processo produtivo tem seis etapas encadeadas: (1)</w:t>
      </w:r>
      <w:r>
        <w:t xml:space="preserve"> </w:t>
      </w:r>
      <w:r>
        <w:rPr>
          <w:bCs/>
          <w:b/>
        </w:rPr>
        <w:t xml:space="preserve">dosagem</w:t>
      </w:r>
      <w:r>
        <w:t xml:space="preserve"> </w:t>
      </w:r>
      <w:r>
        <w:t xml:space="preserve">— a central de 4 cubas pesa os agregados (areia, pó de pedra, pedrisco) e a balança dedicada pesa o cimento vindo do silo pela rosca transportadora; (2)</w:t>
      </w:r>
      <w:r>
        <w:t xml:space="preserve"> </w:t>
      </w:r>
      <w:r>
        <w:rPr>
          <w:bCs/>
          <w:b/>
        </w:rPr>
        <w:t xml:space="preserve">mistura</w:t>
      </w:r>
      <w:r>
        <w:t xml:space="preserve"> </w:t>
      </w:r>
      <w:r>
        <w:t xml:space="preserve">— o misturador MXS-1000 homogeneíza o concreto</w:t>
      </w:r>
      <w:r>
        <w:t xml:space="preserve"> </w:t>
      </w:r>
      <w:r>
        <w:t xml:space="preserve">“</w:t>
      </w:r>
      <w:r>
        <w:t xml:space="preserve">seco</w:t>
      </w:r>
      <w:r>
        <w:t xml:space="preserve">”</w:t>
      </w:r>
      <w:r>
        <w:t xml:space="preserve"> </w:t>
      </w:r>
      <w:r>
        <w:t xml:space="preserve">(umidade de 6 a 8%, muito mais baixa que a do concreto convencional) com dosagem automática de água e aditivo plastificante; (3)</w:t>
      </w:r>
      <w:r>
        <w:t xml:space="preserve"> </w:t>
      </w:r>
      <w:r>
        <w:rPr>
          <w:bCs/>
          <w:b/>
        </w:rPr>
        <w:t xml:space="preserve">alimentação</w:t>
      </w:r>
      <w:r>
        <w:t xml:space="preserve"> </w:t>
      </w:r>
      <w:r>
        <w:t xml:space="preserve">— esteiras levam a massa à gaveta da vibroprensa; (4)</w:t>
      </w:r>
      <w:r>
        <w:t xml:space="preserve"> </w:t>
      </w:r>
      <w:r>
        <w:rPr>
          <w:bCs/>
          <w:b/>
        </w:rPr>
        <w:t xml:space="preserve">vibroprensagem</w:t>
      </w:r>
      <w:r>
        <w:t xml:space="preserve"> </w:t>
      </w:r>
      <w:r>
        <w:t xml:space="preserve">— o molde é preenchido sobre uma bandeja, e a combinação de vibração de alta frequência (15 kW) com prensagem hidráulica compacta as peças em ciclos de 8 a 20 segundos; (5)</w:t>
      </w:r>
      <w:r>
        <w:t xml:space="preserve"> </w:t>
      </w:r>
      <w:r>
        <w:rPr>
          <w:bCs/>
          <w:b/>
        </w:rPr>
        <w:t xml:space="preserve">cura</w:t>
      </w:r>
      <w:r>
        <w:t xml:space="preserve"> </w:t>
      </w:r>
      <w:r>
        <w:t xml:space="preserve">— as bandejas com peças</w:t>
      </w:r>
      <w:r>
        <w:t xml:space="preserve"> </w:t>
      </w:r>
      <w:r>
        <w:t xml:space="preserve">“</w:t>
      </w:r>
      <w:r>
        <w:t xml:space="preserve">verdes</w:t>
      </w:r>
      <w:r>
        <w:t xml:space="preserve">”</w:t>
      </w:r>
      <w:r>
        <w:t xml:space="preserve"> </w:t>
      </w:r>
      <w:r>
        <w:t xml:space="preserve">são acumuladas automaticamente e levadas à área de cura, onde permanecem tipicamente 24 a 48 horas (cura úmida ambiente) antes da desforma das bandejas, completando resistência ao longo de 7 a 28 dias no pátio; (6)</w:t>
      </w:r>
      <w:r>
        <w:t xml:space="preserve"> </w:t>
      </w:r>
      <w:r>
        <w:rPr>
          <w:bCs/>
          <w:b/>
        </w:rPr>
        <w:t xml:space="preserve">paletização e expedição</w:t>
      </w:r>
      <w:r>
        <w:t xml:space="preserve"> </w:t>
      </w:r>
      <w:r>
        <w:t xml:space="preserve">— o sistema ST800 monta os pallets automaticamente para estoque e carregamento.</w:t>
      </w:r>
    </w:p>
    <w:p>
      <w:pPr>
        <w:pStyle w:val="BodyText"/>
      </w:pPr>
      <w:r>
        <w:t xml:space="preserve">Dois números da proposta merecem destaque do ponto de vista do negócio. Primeiro, o ciclo abaixo de 15 segundos com 2.000 bandejas por turno dá à XP350 produtividade de escala industrial plena. Segundo, o sistema de vibração de alto rendimento permite</w:t>
      </w:r>
      <w:r>
        <w:t xml:space="preserve"> </w:t>
      </w:r>
      <w:r>
        <w:rPr>
          <w:bCs/>
          <w:b/>
        </w:rPr>
        <w:t xml:space="preserve">reduzir em até 15% o consumo de cimento por peça</w:t>
      </w:r>
      <w:r>
        <w:t xml:space="preserve"> </w:t>
      </w:r>
      <w:r>
        <w:t xml:space="preserve">— e cimento é, como se verá no capítulo financeiro, o item número um do custo variável. Máquinas manuais ou semiautomáticas de baixa compactação consomem mais cimento para atingir a mesma resistência; essa diferença de eficiência é uma vantagem estrutural de custo da GTK sobre fabricantes artesanais da região.</w:t>
      </w:r>
    </w:p>
    <w:bookmarkEnd w:id="32"/>
    <w:bookmarkStart w:id="33" w:name="X8a7ab19882474681b6eeb218f202e6ecced31da"/>
    <w:p>
      <w:pPr>
        <w:pStyle w:val="Heading2"/>
      </w:pPr>
      <w:r>
        <w:t xml:space="preserve">3.2 O que a máquina produz: portfólio completo</w:t>
      </w:r>
    </w:p>
    <w:p>
      <w:pPr>
        <w:pStyle w:val="FirstParagraph"/>
      </w:pPr>
      <w:r>
        <w:t xml:space="preserve">A XP350 trabalha com bandejas de até 700 × 550 mm (superfície útil de moldagem de 630 × 520 mm) e altura de peça de 40 a 350 mm (até 500 mm com sobre-altura opcional), com opção de dupla camada — recurso usado para pavers com face superior colorida ou de acabamento fino. Cada produto exige um molde dedicado, fornecido pela própria Gervasi (vida útil de referência: até 40.000 ciclos para moldes de blocos e até 80.000 ciclos para moldes de pavers, com chapas de desgaste substituíveis). Na prática, com um parque de moldes adequado, a planta produz as seguintes famílias:</w:t>
      </w:r>
    </w:p>
    <w:p>
      <w:pPr>
        <w:pStyle w:val="BodyText"/>
      </w:pPr>
      <w:r>
        <w:rPr>
          <w:bCs/>
          <w:b/>
        </w:rPr>
        <w:t xml:space="preserve">Família 1 — Blocos de vedação (NBR 6136, classe C).</w:t>
      </w:r>
      <w:r>
        <w:t xml:space="preserve"> </w:t>
      </w:r>
      <w:r>
        <w:t xml:space="preserve">Blocos sem função estrutural, para fechamento de paredes: 9×19×39 cm, 14×19×39 cm e 19×19×39 cm, com meios-blocos correspondentes (9/14/19×19×19). É o produto de maior giro no varejo e na autoconstrução.</w:t>
      </w:r>
    </w:p>
    <w:p>
      <w:pPr>
        <w:pStyle w:val="BodyText"/>
      </w:pPr>
      <w:r>
        <w:rPr>
          <w:bCs/>
          <w:b/>
        </w:rPr>
        <w:t xml:space="preserve">Família 2 — Blocos estruturais (NBR 6136, classes A e B).</w:t>
      </w:r>
      <w:r>
        <w:t xml:space="preserve"> </w:t>
      </w:r>
      <w:r>
        <w:t xml:space="preserve">Mesmas dimensões nominais, com traço mais rico e resistência característica fbk de 4,5 até 16 MPa ou mais. Vendem com prêmio de preço de 20 a 45% sobre a vedação (tabela SINAPI-ES 06/2026: bloco 14×19×39 fbk 6 = R$ 4,80; fbk 10 = R$ 5,66; fbk 16 = R$ 6,67 [11]) e abrem o mercado de obras de alvenaria estrutural — o sistema construtivo dominante na habitação econômica (Minha Casa, Minha Vida) e em galpões e muros de grande metragem.</w:t>
      </w:r>
    </w:p>
    <w:p>
      <w:pPr>
        <w:pStyle w:val="BodyText"/>
      </w:pPr>
      <w:r>
        <w:rPr>
          <w:bCs/>
          <w:b/>
        </w:rPr>
        <w:t xml:space="preserve">Família 3 — Canaletas e complementos estruturais.</w:t>
      </w:r>
      <w:r>
        <w:t xml:space="preserve"> </w:t>
      </w:r>
      <w:r>
        <w:t xml:space="preserve">Canaletas U (9/14/19), canaletas J e blocos compensadores, usados em vergas, contravergas e cintas de amarração; acompanham obrigatoriamente qualquer venda de bloco estrutural (SINAPI-ES: canaleta 14×19×19 = R$ 3,08 [11]).</w:t>
      </w:r>
    </w:p>
    <w:p>
      <w:pPr>
        <w:pStyle w:val="BodyText"/>
      </w:pPr>
      <w:r>
        <w:rPr>
          <w:bCs/>
          <w:b/>
        </w:rPr>
        <w:t xml:space="preserve">Família 4 — Pavers / pavimento intertravado (NBR 9781).</w:t>
      </w:r>
      <w:r>
        <w:t xml:space="preserve"> </w:t>
      </w:r>
      <w:r>
        <w:t xml:space="preserve">Peças de 35 MPa (tráfego leve) ou 50 MPa (tráfego pesado), nas espessuras 6, 8 e 10 cm, nos formatos retangular 10×20 (</w:t>
      </w:r>
      <w:r>
        <w:t xml:space="preserve">“</w:t>
      </w:r>
      <w:r>
        <w:t xml:space="preserve">holandês</w:t>
      </w:r>
      <w:r>
        <w:t xml:space="preserve">”</w:t>
      </w:r>
      <w:r>
        <w:t xml:space="preserve">), 16 faces 22×11, sextavado 25×25, raquete e tijolinho, em cor natural ou pigmentado (dupla camada). É o produto de venda pública por excelência (calçadas, praças, pátios e ruas) e o de melhor margem por m² (referências SINAPI-ES 06/2026: paver e=6 natural R$ 69,97–88,39/m²; sextavado e=8 R$ 95,76/m²; e=10 R$ 126,57/m² [11]).</w:t>
      </w:r>
    </w:p>
    <w:p>
      <w:pPr>
        <w:pStyle w:val="BodyText"/>
      </w:pPr>
      <w:r>
        <w:rPr>
          <w:bCs/>
          <w:b/>
        </w:rPr>
        <w:t xml:space="preserve">Família 5 — Piso grama / concregrama.</w:t>
      </w:r>
      <w:r>
        <w:t xml:space="preserve"> </w:t>
      </w:r>
      <w:r>
        <w:t xml:space="preserve">Placas vazadas 40×40 ou similares para estacionamentos permeáveis e taludes; nicho crescente com a agenda de drenagem urbana (NBR 16416, pavimento permeável) [12].</w:t>
      </w:r>
    </w:p>
    <w:p>
      <w:pPr>
        <w:pStyle w:val="BodyText"/>
      </w:pPr>
      <w:r>
        <w:rPr>
          <w:bCs/>
          <w:b/>
        </w:rPr>
        <w:t xml:space="preserve">Família 6 — Mini-guias e acabamentos.</w:t>
      </w:r>
      <w:r>
        <w:t xml:space="preserve"> </w:t>
      </w:r>
      <w:r>
        <w:t xml:space="preserve">Mini-guia/meio-fio leve de jardim (comprimentos de 39 a 50 cm, alturas até 30–35 cm), lajotas e elementos vazados tipo cobogó. Importante ser transparente com o investidor: o</w:t>
      </w:r>
      <w:r>
        <w:t xml:space="preserve"> </w:t>
      </w:r>
      <w:r>
        <w:rPr>
          <w:bCs/>
          <w:b/>
        </w:rPr>
        <w:t xml:space="preserve">meio-fio rodoviário padrão DER (peça monolítica de 80–100 cm)</w:t>
      </w:r>
      <w:r>
        <w:t xml:space="preserve"> </w:t>
      </w:r>
      <w:r>
        <w:rPr>
          <w:iCs/>
          <w:i/>
        </w:rPr>
        <w:t xml:space="preserve">não</w:t>
      </w:r>
      <w:r>
        <w:t xml:space="preserve"> </w:t>
      </w:r>
      <w:r>
        <w:t xml:space="preserve">sai de vibroprensa com bandeja de 630 mm úteis — esse item continua sendo de fábricas de pré-moldados convencionais (formas e concreto úmido), e a GTK poderá produzi-lo à parte no futuro, sob o CNAE 23.30-3/99, se desejar disputar pacotes completos de urbanização.</w:t>
      </w:r>
    </w:p>
    <w:p>
      <w:pPr>
        <w:pStyle w:val="BodyText"/>
      </w:pPr>
      <w:r>
        <w:rPr>
          <w:bCs/>
          <w:b/>
        </w:rPr>
        <w:t xml:space="preserve">O que a planta NÃO produz</w:t>
      </w:r>
      <w:r>
        <w:t xml:space="preserve"> </w:t>
      </w:r>
      <w:r>
        <w:t xml:space="preserve">(para calibrar expectativas): tubos de concreto, aduelas, postes, estacas, lajes e vigotas, casas pré-moldadas completas (apesar do CNAE habilitado, exigiriam outra linha) e meios-fios longos. O foco competitivo da XP350 é ser imbatível em blocos e pisos.</w:t>
      </w:r>
    </w:p>
    <w:bookmarkEnd w:id="33"/>
    <w:bookmarkStart w:id="34" w:name="capacidade-máxima-por-produto"/>
    <w:p>
      <w:pPr>
        <w:pStyle w:val="Heading2"/>
      </w:pPr>
      <w:r>
        <w:t xml:space="preserve">3.3 Capacidade máxima por produto</w:t>
      </w:r>
    </w:p>
    <w:p>
      <w:pPr>
        <w:pStyle w:val="FirstParagraph"/>
      </w:pPr>
      <w:r>
        <w:t xml:space="preserve">A tabela a seguir consolida os dados de produção da proposta Gervasi (bandeja 700×550, turno de 8 horas com fator de utilização de 90%) e as conversões mensais e anuais calculadas para 22 dias úteis/mês: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Peças/bandeja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Peças/hora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Produção/turno 8h (90%)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Produção/mês 1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Produção/ano 1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Concreto (m³/h)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 14×19×39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7.020 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≈154.400 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≈1,85 milhão 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 19×19×39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5.265 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≈115.800 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≈1,39 milhão 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 9×19×39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10.530 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≈231.700 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≈2,78 milhões 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Paver H6 (m²)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≈74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≈530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≈11.700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≈140 mil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</w:t>
            </w:r>
          </w:p>
        </w:tc>
      </w:tr>
    </w:tbl>
    <w:p>
      <w:pPr>
        <w:pStyle w:val="BodyText"/>
      </w:pPr>
      <w:r>
        <w:t xml:space="preserve">Notas técnicas: (i) os números por turno são os declarados pelo fabricante; os valores por hora do paver foram derivados da produção por turno (530 m² ÷ 7,2 h efetivas ≈ 74 m²/h), pois a linha correspondente da proposta apresenta os dígitos comprimidos; (ii) canaletas e meios-blocos produzem em cadência igual ou superior à do bloco inteiro correspondente; pavers de 8 e 10 cm produzem o mesmo nº de bandejas/hora com maior consumo de concreto por m²; (iii) a máquina é preparada para</w:t>
      </w:r>
      <w:r>
        <w:t xml:space="preserve"> </w:t>
      </w:r>
      <w:r>
        <w:rPr>
          <w:bCs/>
          <w:b/>
        </w:rPr>
        <w:t xml:space="preserve">dois turnos</w:t>
      </w:r>
      <w:r>
        <w:t xml:space="preserve"> </w:t>
      </w:r>
      <w:r>
        <w:t xml:space="preserve">(o sistema hidráulico tem trocador de calor dimensionado para isso), o que dobra todos os valores sem novo investimento em equipamento — este é o principal</w:t>
      </w:r>
      <w:r>
        <w:t xml:space="preserve"> </w:t>
      </w:r>
      <w:r>
        <w:t xml:space="preserve">“</w:t>
      </w:r>
      <w:r>
        <w:t xml:space="preserve">colchão de crescimento</w:t>
      </w:r>
      <w:r>
        <w:t xml:space="preserve">”</w:t>
      </w:r>
      <w:r>
        <w:t xml:space="preserve"> </w:t>
      </w:r>
      <w:r>
        <w:t xml:space="preserve">embutido no projeto.</w:t>
      </w:r>
    </w:p>
    <w:p>
      <w:pPr>
        <w:pStyle w:val="BodyText"/>
      </w:pPr>
      <w:r>
        <w:t xml:space="preserve">Em regime de dois turnos, portanto, o teto físico da planta é da ordem de</w:t>
      </w:r>
      <w:r>
        <w:t xml:space="preserve"> </w:t>
      </w:r>
      <w:r>
        <w:rPr>
          <w:bCs/>
          <w:b/>
        </w:rPr>
        <w:t xml:space="preserve">3,7 milhões de blocos de 14 cm por ano</w:t>
      </w:r>
      <w:r>
        <w:t xml:space="preserve"> </w:t>
      </w:r>
      <w:r>
        <w:t xml:space="preserve">(ou o equivalente no mix), patamar de fábrica média-grande no interior do Brasil.</w:t>
      </w:r>
    </w:p>
    <w:bookmarkEnd w:id="34"/>
    <w:bookmarkStart w:id="35" w:name="troca-de-moldes-e-planejamento-do-mix"/>
    <w:p>
      <w:pPr>
        <w:pStyle w:val="Heading2"/>
      </w:pPr>
      <w:r>
        <w:t xml:space="preserve">3.4 Troca de moldes e planejamento do mix</w:t>
      </w:r>
    </w:p>
    <w:p>
      <w:pPr>
        <w:pStyle w:val="FirstParagraph"/>
      </w:pPr>
      <w:r>
        <w:t xml:space="preserve">A troca de molde na XP350 usa fixação por bolsas de ar com pré-carga pneumática e leva</w:t>
      </w:r>
      <w:r>
        <w:t xml:space="preserve"> </w:t>
      </w:r>
      <w:r>
        <w:rPr>
          <w:bCs/>
          <w:b/>
        </w:rPr>
        <w:t xml:space="preserve">cerca de 15 a 20 minutos</w:t>
      </w:r>
      <w:r>
        <w:t xml:space="preserve"> </w:t>
      </w:r>
      <w:r>
        <w:t xml:space="preserve">— contra 1 a 3 horas em máquinas de gerações anteriores. As implicações gerenciais são três: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Flexibilidade real de mix.</w:t>
      </w:r>
      <w:r>
        <w:t xml:space="preserve"> </w:t>
      </w:r>
      <w:r>
        <w:t xml:space="preserve">Perder 20 minutos (≈4% de um turno) torna viável alternar produtos até diariamente. A prática recomendada é organizar a semana em blocos de produção (por exemplo: 3 dias de bloco 14, 1 dia de bloco 9/canaleta, 1 dia de paver) e usar o estoque como pulmão, em vez de trocar o molde várias vezes ao dia.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Lote mínimo econômico baixo.</w:t>
      </w:r>
      <w:r>
        <w:t xml:space="preserve"> </w:t>
      </w:r>
      <w:r>
        <w:t xml:space="preserve">Com troca rápida, encomendas específicas (um lote de bloco estrutural fbk 8 para uma obra, pavers pigmentados para um condomínio) podem ser encaixadas sem desorganizar a fábrica — vantagem comercial sobre concorrentes de máquina lenta.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Disciplina de manutenção de moldes.</w:t>
      </w:r>
      <w:r>
        <w:t xml:space="preserve"> </w:t>
      </w:r>
      <w:r>
        <w:t xml:space="preserve">O molde é o item de desgaste mais caro da operação (vida útil de referência de 40.000 ciclos para blocos e 80.000 para pavers). Rodízio correto, limpeza, aperto e substituição das chapas de desgaste devem constar da rotina; o orçamento de manutenção do capítulo financeiro reserva verba mensal para isso.</w:t>
      </w:r>
    </w:p>
    <w:bookmarkEnd w:id="35"/>
    <w:bookmarkStart w:id="36" w:name="X4912643c3b638194f1182b4f1f256e49d6dac93"/>
    <w:p>
      <w:pPr>
        <w:pStyle w:val="Heading2"/>
      </w:pPr>
      <w:r>
        <w:t xml:space="preserve">3.5 Requisitos de infraestrutura e utilidades</w:t>
      </w:r>
    </w:p>
    <w:p>
      <w:pPr>
        <w:pStyle w:val="FirstParagraph"/>
      </w:pPr>
      <w:r>
        <w:t xml:space="preserve">Para o galpão e utilidades (itens fora da proposta Gervasi), os requisitos declarados pelo fabricante são: água a 3–4 bar com vazão de 200 L/min; ar comprimido de 7 bar (compressor ~5,5 HP); energia elétrica com consumo inferior a 90 kVA; e pá carregadeira para abastecer a central de agregados. Quanto à energia, a concessionária da região é a EDP Espírito Santo, e a norma técnica de fornecimento em média tensão da distribuidora (PT.DT.PDN.03.14.001) admite atendimento em subestação simplificada em poste para transformadores trifásicos até 300 kVA [13] — ou seja, os ~90 kVA da planta são plenamente enquadráveis em ligação rural de Grupo A (média tensão), com contratação de demanda; o custo dessa entrada consta do CAPEX complementar. Registre-se o risco tarifário: a revisão tarifária de agosto/2025 da EDP ES teve efeito médio de +15,53% [14][15], reforçando a importância da eficiência energética da linha e, no médio prazo, da avaliação de geração solar própria no telhado do galpão.</w:t>
      </w:r>
    </w:p>
    <w:p>
      <w:pPr>
        <w:pStyle w:val="BodyText"/>
      </w:pPr>
      <w:r>
        <w:t xml:space="preserve">A área de cura merece atenção especial de projeto: com 2.000 bandejas/turno e ciclo de cura de 24–48 h antes da desforma, a fábrica precisa de estruturas (gaiolas/estantes) para 4.000 a 6.000 bandejas em rotação contínua, além de pátio de estocagem paletizada com capacidade para 30 a 45 dias de produção — na prática, 6.000 a 10.000 m² de área total de terreno bem utilizada, entre galpão (≈1.200–1.800 m² cobertos), cura e pátio.</w:t>
      </w:r>
    </w:p>
    <w:bookmarkEnd w:id="36"/>
    <w:bookmarkStart w:id="37" w:name="consumo-de-insumos-em-capacidade-plena"/>
    <w:p>
      <w:pPr>
        <w:pStyle w:val="Heading2"/>
      </w:pPr>
      <w:r>
        <w:t xml:space="preserve">3.6 Consumo de insumos em capacidade plena</w:t>
      </w:r>
    </w:p>
    <w:p>
      <w:pPr>
        <w:pStyle w:val="FirstParagraph"/>
      </w:pPr>
      <w:r>
        <w:t xml:space="preserve">Referências operacionais em um turno (produto-base bloco 14×19×39, vedação): consumo de concreto de 5,4 m³/h ≈</w:t>
      </w:r>
      <w:r>
        <w:t xml:space="preserve"> </w:t>
      </w:r>
      <w:r>
        <w:rPr>
          <w:bCs/>
          <w:b/>
        </w:rPr>
        <w:t xml:space="preserve">39 m³/turno</w:t>
      </w:r>
      <w:r>
        <w:t xml:space="preserve">; massa específica do concreto seco compactado ≈ 2.200 kg/m³; peso médio do bloco 14 de vedação ≈ 11–12 kg [16]. O consumo de cimento, no traço típico de vedação (1:11 a 1:13 em massa, ~150–190 kg de cimento/m³), fica próximo de</w:t>
      </w:r>
      <w:r>
        <w:t xml:space="preserve"> </w:t>
      </w:r>
      <w:r>
        <w:rPr>
          <w:bCs/>
          <w:b/>
        </w:rPr>
        <w:t xml:space="preserve">1,0 kg por bloco</w:t>
      </w:r>
      <w:r>
        <w:t xml:space="preserve"> </w:t>
      </w:r>
      <w:r>
        <w:t xml:space="preserve">[17] — ou cerca de 7 toneladas de cimento por dia de produção plena. O silo de 90 t confere, assim, autonomia de ~13 dias úteis, permitindo comprar cimento a granel em carretas completas (melhor preço) e atravessar eventuais atrasos de entrega sem parar a fábrica. Agregados: ~34 m³/turno no mix areia/pó de pedra/pedrisco, o que significa receber 5 a 6 caçambas de 27 m³ por semana — volume que justifica negociar contrato de fornecimento com pedreira da região (capítulo 7).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análise-do-macroambiente"/>
    <w:p>
      <w:pPr>
        <w:pStyle w:val="Heading1"/>
      </w:pPr>
      <w:r>
        <w:t xml:space="preserve">4. ANÁLISE DO MACROAMBIENTE</w:t>
      </w:r>
    </w:p>
    <w:bookmarkStart w:id="39" w:name="Xd87e61f807015142a83a90bc45cf7ec757bf06d"/>
    <w:p>
      <w:pPr>
        <w:pStyle w:val="Heading2"/>
      </w:pPr>
      <w:r>
        <w:t xml:space="preserve">4.1 Contexto nacional: cimento, blocos e construção</w:t>
      </w:r>
    </w:p>
    <w:p>
      <w:pPr>
        <w:pStyle w:val="FirstParagraph"/>
      </w:pPr>
      <w:r>
        <w:t xml:space="preserve">O ambiente nacional é de recuperação moderada com juros altos. As vendas de cimento — melhor termômetro agregado da construção — somaram 64,7 milhões de toneladas em 2024, alta de 3,9% sobre 2023 [18], com consumo aparente de 64,8 milhões de toneladas (+4,1%) [19], e fecharam 2025 em cerca de 67 milhões de toneladas comercializadas, alta de 3,7% [20], recuperando as perdas de 2022–2023. Para a indústria de blocos de concreto, a entidade setorial BlocoBrasil dimensionou, em pesquisa de março de 2013, a capacidade instalada nacional em torno de 100 milhões de blocos/mês [21] — referência histórica que ilustra a escala industrial do segmento —, e projeções de mercado independentes indicam crescimento na casa de 4 a 6% ao ano para blocos e pavimentos intertravados nesta década [23]. Dois vetores estruturais favorecem especificamente o produto da GTK:</w:t>
      </w:r>
    </w:p>
    <w:p>
      <w:pPr>
        <w:pStyle w:val="BodyText"/>
      </w:pPr>
      <w:r>
        <w:rPr>
          <w:bCs/>
          <w:b/>
        </w:rPr>
        <w:t xml:space="preserve">Habitação econômica em alvenaria estrutural.</w:t>
      </w:r>
      <w:r>
        <w:t xml:space="preserve"> </w:t>
      </w:r>
      <w:r>
        <w:t xml:space="preserve">O bloco de concreto estrutural tornou-se o sistema construtivo dominante da habitação popular brasileira por ser mais rápido e barato que a estrutura convencional. O programa Minha Casa, Minha Vida opera em ciclo forte de contratações: o Governo Federal contratou no Espírito Santo 18,06 mil unidades entre 2023 e 2025, com investimento de R$ 2,62 bilhões [24]. Cada casa térrea típica de 41–60 m² consome da ordem de 2,2 mil a 3 mil blocos — ou seja, apenas as ~3,8 mil unidades concluídas por ano no estado [25] representariam demanda potencial máxima da ordem de 8 a 11 milhões de blocos/ano no ES (premissa de teto: totalidade das obras em alvenaria de blocos de concreto; na prática o sistema responde por uma parcela — ainda assim contada em milhões de unidades).</w:t>
      </w:r>
    </w:p>
    <w:p>
      <w:pPr>
        <w:pStyle w:val="BodyText"/>
      </w:pPr>
      <w:r>
        <w:rPr>
          <w:bCs/>
          <w:b/>
        </w:rPr>
        <w:t xml:space="preserve">Pavimentação intertravada em expansão.</w:t>
      </w:r>
      <w:r>
        <w:t xml:space="preserve"> </w:t>
      </w:r>
      <w:r>
        <w:t xml:space="preserve">O paver vem substituindo asfalto e concreto moldado em calçadas, orlas, pátios logísticos e vias de tráfego leve por custo de ciclo de vida menor, facilidade de manutenção e drenagem. O mercado nacional de intertravados cresce a taxas estimadas de 4,9% a 6,3% ao ano, e o subsegmento permeável (normatizado pela NBR 16416) avança acima de 9% ao ano [26][27][12], puxado pela agenda de drenagem urbana e adaptação climática — exatamente a rubrica que financiou as obras recentes de Jaguaré via Fundo Cidades [28].</w:t>
      </w:r>
    </w:p>
    <w:bookmarkEnd w:id="39"/>
    <w:bookmarkStart w:id="40" w:name="contexto-estadual"/>
    <w:p>
      <w:pPr>
        <w:pStyle w:val="Heading2"/>
      </w:pPr>
      <w:r>
        <w:t xml:space="preserve">4.2 Contexto estadual</w:t>
      </w:r>
    </w:p>
    <w:p>
      <w:pPr>
        <w:pStyle w:val="FirstParagraph"/>
      </w:pPr>
      <w:r>
        <w:t xml:space="preserve">O Espírito Santo vive um ciclo de investimentos sem precedente recente: a carteira estadual de investimentos anunciados supera R$ 120 bilhões até 2029 [29], com destaque para petróleo e gás (R$ 44,2 bilhões em sete projetos nos próximos cinco anos, concentrados justamente em Linhares, Jaguaré, São Mateus e Conceição da Barra [30]), logística (novo contrato de concessão da BR-101 com terceiras faixas no trecho norte entre 2026 e 2027 [31]) e agroindústria do café (R$ 1,2 bilhão em novas indústrias em 2025 [32]).</w:t>
      </w:r>
    </w:p>
    <w:p>
      <w:pPr>
        <w:pStyle w:val="BodyText"/>
      </w:pPr>
      <w:r>
        <w:t xml:space="preserve">A construção civil capixaba, por sua vez, atravessa 2025–2026 em ritmo desigual: o setor sustenta cerca de 75 mil empregos diretos no estado [33], mas o primeiro semestre de 2025 registrou leve retração de 1% na atividade (IAE-Findes), reflexo da Selic mantida em 15% [34]; a projeção nacional da CBIC para o PIB da construção em 2025 foi revisada de 3% para 1,3% [35]. O Censo Imobiliário do Sinduscon-ES mostra 40,2% dos empreendimentos residenciais em produção no segmento econômico/MCMV [36] — segmento intensivo em bloco estrutural. Em síntese: o ciclo privado de médio/alto padrão está sensível aos juros (risco), mas a demanda pública (pavimentação, habitação social, obras rurais) e a industrial (petróleo, café, logística) seguem contratadas e em execução na região da planta (oportunidade).</w:t>
      </w:r>
    </w:p>
    <w:bookmarkEnd w:id="40"/>
    <w:bookmarkStart w:id="41" w:name="contexto-regional-o-norte-capixaba"/>
    <w:p>
      <w:pPr>
        <w:pStyle w:val="Heading2"/>
      </w:pPr>
      <w:r>
        <w:t xml:space="preserve">4.3 Contexto regional: o norte capixaba</w:t>
      </w:r>
    </w:p>
    <w:p>
      <w:pPr>
        <w:pStyle w:val="FirstParagraph"/>
      </w:pPr>
      <w:r>
        <w:t xml:space="preserve">O norte do Espírito Santo combina três motores econômicos com efeito direto sobre construção: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Petróleo e gás terrestre.</w:t>
      </w:r>
      <w:r>
        <w:t xml:space="preserve"> </w:t>
      </w:r>
      <w:r>
        <w:t xml:space="preserve">São Mateus é, por lei estadual, a</w:t>
      </w:r>
      <w:r>
        <w:t xml:space="preserve"> </w:t>
      </w:r>
      <w:r>
        <w:t xml:space="preserve">“</w:t>
      </w:r>
      <w:r>
        <w:t xml:space="preserve">Capital Estadual do Petróleo e Gás</w:t>
      </w:r>
      <w:r>
        <w:t xml:space="preserve">”</w:t>
      </w:r>
      <w:r>
        <w:t xml:space="preserve"> </w:t>
      </w:r>
      <w:r>
        <w:t xml:space="preserve">[37]. A operadora Seacrest investiu US$ 699 milhões na aquisição dos polos Cricaré e Norte Capixaba (campos em São Mateus, Jaguaré, Conceição da Barra e Linhares) e vem aplicando cerca de R$ 1 bilhão/ano na região, com meta de mais que dobrar a produção até 2027 e previsão de 2 mil empregos [38][39]. A produção industrial capixaba cresceu 20,2% no 1º semestre de 2026 frente ao mesmo período de 2025 (PIM-PF/IBGE) — o maior avanço do país, contra média nacional de +1,5% —, puxada pelo petróleo e gás [40][131].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Agroindústria do café conilon.</w:t>
      </w:r>
      <w:r>
        <w:t xml:space="preserve"> </w:t>
      </w:r>
      <w:r>
        <w:t xml:space="preserve">O ES responde por ~70% do conilon nacional, e os dois maiores municípios produtores de café do Brasil são vizinhos imediatos da planta: Jaguaré (1º) e Vila Valério (2º), com Nova Venécia, Sooretama, Rio Bananal e Linhares também no topo do ranking [41]. Café gera renda rural pulverizada — e renda rural no interior vira galpão, terreiro/pátio de secagem (grande consumidor de piso de concreto), muro e casa nova.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Urbanização e logística.</w:t>
      </w:r>
      <w:r>
        <w:t xml:space="preserve"> </w:t>
      </w:r>
      <w:r>
        <w:t xml:space="preserve">Marcopolo amplia em R$ 260 milhões sua fábrica de ônibus elétricos em São Mateus (+500 empregos) [42]; Linhares atraiu R$ 3,4 bilhões em investimentos [43]; o distrito-balneário de Guriri consolida-se como polo imobiliário com loteamentos em vendas aceleradas [44][45][46]; e o projeto do porto de Urussuquara (Petrocity) — ainda em licenciamento — adicionaria um vetor transformador, incluindo termelétrica orçada em R$ 6 bilhões [47][48].</w:t>
      </w:r>
    </w:p>
    <w:p>
      <w:pPr>
        <w:pStyle w:val="FirstParagraph"/>
      </w:pPr>
      <w:r>
        <w:t xml:space="preserve">Para uma fábrica de materiais básicos de construção, esse conjunto significa demanda derivada: cada poço perfurado, galpão de café, loteamento aberto e rua urbanizada consome blocos, pavers, canaletas e guias.</w:t>
      </w:r>
    </w:p>
    <w:bookmarkEnd w:id="41"/>
    <w:bookmarkStart w:id="42" w:name="marco-regulatório-e-licenças"/>
    <w:p>
      <w:pPr>
        <w:pStyle w:val="Heading2"/>
      </w:pPr>
      <w:r>
        <w:t xml:space="preserve">4.4 Marco regulatório e licenças</w:t>
      </w:r>
    </w:p>
    <w:p>
      <w:pPr>
        <w:pStyle w:val="FirstParagraph"/>
      </w:pPr>
      <w:r>
        <w:t xml:space="preserve">A operação exige quatro frentes de conformidade, todas mapeadas e sem impedimento identificado: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Registro e viabilidade</w:t>
      </w:r>
      <w:r>
        <w:t xml:space="preserve">: empresa constituída, CNPJ ativo e Inscrição Estadual emitida via REDESIM/Simplifica-ES com protocolo processado [documentos da empresa], indicando viabilidade locacional da atividade no endereço rural declarado.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Licenciamento ambiental</w:t>
      </w:r>
      <w:r>
        <w:t xml:space="preserve">: no ES, a fabricação de artefatos de concreto é atividade licenciável; o IEMA mantém enquadramento e procedimento específicos para</w:t>
      </w:r>
      <w:r>
        <w:t xml:space="preserve"> </w:t>
      </w:r>
      <w:r>
        <w:t xml:space="preserve">“</w:t>
      </w:r>
      <w:r>
        <w:t xml:space="preserve">fabricação de concreto e afins</w:t>
      </w:r>
      <w:r>
        <w:t xml:space="preserve">”</w:t>
      </w:r>
      <w:r>
        <w:t xml:space="preserve"> </w:t>
      </w:r>
      <w:r>
        <w:t xml:space="preserve">(licenciamento ordinário, com PCA conforme IN 008/2016) [49][50], e parte dos municípios licencia localmente atividades de menor porte. Há registro de autuações no estado por operação sem licença [50] — o cronograma de implantação da GTK deve, portanto, iniciar o processo junto ao órgão competente (IEMA ou Secretaria Municipal de Meio Ambiente de São Mateus, conforme enquadramento de porte/potencial poluidor) antes do start-up. Vale notar que a atividade é de baixo potencial poluidor relativo: processo a seco, sem efluente industrial contínuo (água de cura recirculável), resíduo sólido reaproveitável (peças refugadas voltam ao processo como agregado britado).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Normas técnicas de produto</w:t>
      </w:r>
      <w:r>
        <w:t xml:space="preserve">: NBR 6136 (blocos vazados de concreto — classes A, B e C), NBR 12118 (métodos de ensaio de blocos) e NBR 9781 (pavers — resistência 35/50 MPa). O controle exige ensaios periódicos de resistência, absorção e dimensional em laboratório — há laboratórios especializados no estado (Concretest e Brascontec, na Grande Vitória [51][52]) e a alternativa estratégica de aderir ao Selo de Qualidade ABCP, hoje detido no ES apenas por três fabricantes, todos da região de Aracruz/Serra [53][54].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Trabalho e segurança</w:t>
      </w:r>
      <w:r>
        <w:t xml:space="preserve">: NR-12 (segurança em máquinas — a linha nova já vem com proteções e comandos bimanuais de série), NR-11 (empilhadeira/pá carregadeira), EPIs e a convenção coletiva da indústria da construção/artefatos do ES como referência de pisos salariais [55].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mercado-alvo-e-área-de-influência"/>
    <w:p>
      <w:pPr>
        <w:pStyle w:val="Heading1"/>
      </w:pPr>
      <w:r>
        <w:t xml:space="preserve">5. MERCADO-ALVO E ÁREA DE INFLUÊNCIA</w:t>
      </w:r>
    </w:p>
    <w:bookmarkStart w:id="44" w:name="Xcede7b2befd077505b318ad6f519182bf651fdc"/>
    <w:p>
      <w:pPr>
        <w:pStyle w:val="Heading2"/>
      </w:pPr>
      <w:r>
        <w:t xml:space="preserve">5.1 Quem compra bloco e paver: os cinco segmentos</w:t>
      </w:r>
    </w:p>
    <w:p>
      <w:pPr>
        <w:pStyle w:val="FirstParagraph"/>
      </w:pPr>
      <w:r>
        <w:t xml:space="preserve">O mercado-alvo da GTK divide-se em cinco segmentos com lógicas de compra distintas: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compra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B2G — Prefeituras e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Paver/sextavado, meio-fio leve, canaleta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Licitação (menor preço) e registro de preços; exige laudo/norma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+ conformidade NBR + capacidade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B2B — Construtoras e empreiteiras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estrutural certificado, canaletas, paver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Cotação por obra; contratos de fornecimento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Qualidade certificada + prazo + preço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B2B — Revendas/depósitos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vedação, bloco 9, meio 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Reposição semanal/quinzenal; carga fechada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+ regularidade + política de 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B2B — Agro e indústria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Paver pesado (H8/H10), piso grama, blocos p/ galpões e muros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 a projeto (pátios de café, granjas, postos, armazéns)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Resistência + frete curto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B2C — Autoconstrução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vedação, meio-fio jardim, lajota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Balcão/entrega na obra em pequenos lotes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à vista + entrega rápida + fiado local</w:t>
            </w:r>
          </w:p>
        </w:tc>
      </w:tr>
    </w:tbl>
    <w:bookmarkEnd w:id="44"/>
    <w:bookmarkStart w:id="45" w:name="área-de-influência-ponderada"/>
    <w:p>
      <w:pPr>
        <w:pStyle w:val="Heading2"/>
      </w:pPr>
      <w:r>
        <w:t xml:space="preserve">5.2 Área de influência ponderada</w:t>
      </w:r>
    </w:p>
    <w:p>
      <w:pPr>
        <w:pStyle w:val="FirstParagraph"/>
      </w:pPr>
      <w:r>
        <w:t xml:space="preserve">A área de influência foi construída a partir das distâncias rodoviárias da planta (km 35 da ES-381) e da presença/ausência de fabricantes equivalentes em cada município, aplicando os fatores de contribuição do modelo consagrado em estudos de localização (até 15 km: 30–50%; 15–30 km: 15–30%; 30–60 km: 5–15%; acima de 60 km: 0–5%). Como a planta está no meio rural do próprio município-sede, São Mateus entra integralmente; os fatores dos demais municípios foram calibrados de forma conservadora, reduzidos onde há oferta local relevante (Nova Venécia, pela cerâmica local com linha de blocos) e onde outro polo está mais próximo (municípios da órbita de Linhares).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Município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População (Censo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Distância aprox. da planta (km)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Fabricante local de bloco de concreto?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População ponderada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São Mateus (sede)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123.750 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(planta no município; sede a ~35)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 pequenos produtores (ver cap.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123.750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 Venécia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49.065 [7]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(cerâmica c/ linha de blocos)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Jaguaré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28.931 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localizado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Vila Valério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14.065 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localizado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 Esperança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15.146 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localizado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São Gabriel da Palha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39.085 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localizado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Conceição da Barra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27.458 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localizado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Pedro Canário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26.575 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localizado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Pinheiros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27.601 [6]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localizado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351.676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≈152.900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bCs/>
          <w:b/>
        </w:rPr>
        <w:t xml:space="preserve">mercado potencial ampliado</w:t>
      </w:r>
      <w:r>
        <w:t xml:space="preserve"> </w:t>
      </w:r>
      <w:r>
        <w:t xml:space="preserve">da GTK equivale, portanto, a ~152,9 mil habitantes — 23,6% acima da população do município-sede isolado. Em segundo anel, alcançável de forma oportunista (cargas fechadas, licitações pontuais), estão Sooretama (31.278 hab [6]), Montanha (18.900 hab [6]), Mucurici, Ponto Belo, Vila Pavão, Barra de São Francisco e o polo de Linhares — este último com oferta própria consolidada, mas com demanda tão grande (R$ 3,4 bi em investimentos [43]; padrão municipal de pavimentar bairros com intertravado</w:t>
      </w:r>
      <w:r>
        <w:t xml:space="preserve"> </w:t>
      </w:r>
      <w:r>
        <w:t xml:space="preserve">“</w:t>
      </w:r>
      <w:r>
        <w:t xml:space="preserve">Pav’s</w:t>
      </w:r>
      <w:r>
        <w:t xml:space="preserve">”</w:t>
      </w:r>
      <w:r>
        <w:t xml:space="preserve"> </w:t>
      </w:r>
      <w:r>
        <w:t xml:space="preserve">[56][57]) que absorve fornecimento externo em picos de obra. O sul da Bahia (Mucuri, Teixeira de Freitas, a ~150 km pela BR-101) é um terceiro anel possível para pavers de obra pública.</w:t>
      </w:r>
    </w:p>
    <w:p>
      <w:pPr>
        <w:pStyle w:val="BodyText"/>
      </w:pPr>
      <w:r>
        <w:t xml:space="preserve">É crucial que o analista observe a</w:t>
      </w:r>
      <w:r>
        <w:t xml:space="preserve"> </w:t>
      </w:r>
      <w:r>
        <w:rPr>
          <w:bCs/>
          <w:b/>
        </w:rPr>
        <w:t xml:space="preserve">assimetria competitiva da geografia</w:t>
      </w:r>
      <w:r>
        <w:t xml:space="preserve">: dentro do primeiro anel (raio ~50 km), não foi localizado nenhum fabricante certificado nem nenhuma planta automática de blocos — a oferta local é artesanal/semimecanizada (cap. 6). Os fabricantes industriais certificados do estado (Ademar do Bloco, Bela Vista, Cidade Engenharia) estão todos a 200–260 km, na região Aracruz–Serra [58][59][60], com frete proibitivo para o dia a dia do varejo do norte (mesmo em carreta de 25–30 t, o percurso de ida e volta de ~400 km adiciona R$ 1,30–1,90 por bloco trazido da Grande Vitória — memória no cap. 9.2). A GTK nascerá, assim, como a</w:t>
      </w:r>
      <w:r>
        <w:t xml:space="preserve"> </w:t>
      </w:r>
      <w:r>
        <w:rPr>
          <w:bCs/>
          <w:b/>
        </w:rPr>
        <w:t xml:space="preserve">única planta automática de escala industrial do interior norte-capixaba</w:t>
      </w:r>
      <w:r>
        <w:t xml:space="preserve">.</w:t>
      </w:r>
    </w:p>
    <w:bookmarkEnd w:id="45"/>
    <w:bookmarkStart w:id="46" w:name="dimensionamento-da-demanda"/>
    <w:p>
      <w:pPr>
        <w:pStyle w:val="Heading2"/>
      </w:pPr>
      <w:r>
        <w:t xml:space="preserve">5.3 Dimensionamento da demanda</w:t>
      </w:r>
    </w:p>
    <w:p>
      <w:pPr>
        <w:pStyle w:val="FirstParagraph"/>
      </w:pPr>
      <w:r>
        <w:t xml:space="preserve">Sem uma</w:t>
      </w:r>
      <w:r>
        <w:t xml:space="preserve"> </w:t>
      </w:r>
      <w:r>
        <w:t xml:space="preserve">“</w:t>
      </w:r>
      <w:r>
        <w:t xml:space="preserve">taxa de penetração</w:t>
      </w:r>
      <w:r>
        <w:t xml:space="preserve">”</w:t>
      </w:r>
      <w:r>
        <w:t xml:space="preserve"> </w:t>
      </w:r>
      <w:r>
        <w:t xml:space="preserve">publicada para blocos (produto intermediário, não de consumo final), o dimensionamento usa dois métodos triangulados, ambos conservadores:</w:t>
      </w:r>
    </w:p>
    <w:p>
      <w:pPr>
        <w:pStyle w:val="BodyText"/>
      </w:pPr>
      <w:r>
        <w:rPr>
          <w:bCs/>
          <w:b/>
        </w:rPr>
        <w:t xml:space="preserve">Método A — Top-down pelo consumo de cimento (validação cruzada).</w:t>
      </w:r>
      <w:r>
        <w:t xml:space="preserve"> </w:t>
      </w:r>
      <w:r>
        <w:t xml:space="preserve">O consumo per capita de cimento no Brasil é da ordem de</w:t>
      </w:r>
      <w:r>
        <w:t xml:space="preserve"> </w:t>
      </w:r>
      <w:r>
        <w:rPr>
          <w:bCs/>
          <w:b/>
        </w:rPr>
        <w:t xml:space="preserve">280 kg/hab/ano</w:t>
      </w:r>
      <w:r>
        <w:t xml:space="preserve"> </w:t>
      </w:r>
      <w:r>
        <w:t xml:space="preserve">[138]. Aplicado à área de influência ponderada (152,9 mil hab-eq), o consumo local estimado é de</w:t>
      </w:r>
      <w:r>
        <w:t xml:space="preserve"> </w:t>
      </w:r>
      <w:r>
        <w:rPr>
          <w:bCs/>
          <w:b/>
        </w:rPr>
        <w:t xml:space="preserve">~42,8 mil t de cimento/ano</w:t>
      </w:r>
      <w:r>
        <w:t xml:space="preserve">. A fração desse cimento destinada a artefatos vibroprensados não é publicada por SNIC/ABCP — a literatura oficial detalha apenas a estrutura de canais do mercado de cimento [134] e o panorama do concreto [61] —, de modo que este estudo adota</w:t>
      </w:r>
      <w:r>
        <w:t xml:space="preserve"> </w:t>
      </w:r>
      <w:r>
        <w:rPr>
          <w:bCs/>
          <w:b/>
        </w:rPr>
        <w:t xml:space="preserve">premissa técnica declarada de 8% a 15%, com cenário central de 12%</w:t>
      </w:r>
      <w:r>
        <w:t xml:space="preserve">. O resultado — 3,4 a 6,4 mil t/ano de cimento em artefatos, equivalentes a</w:t>
      </w:r>
      <w:r>
        <w:t xml:space="preserve"> </w:t>
      </w:r>
      <w:r>
        <w:rPr>
          <w:bCs/>
          <w:b/>
        </w:rPr>
        <w:t xml:space="preserve">3,4 a 6,4 milhões de blocos-equivalentes/ano</w:t>
      </w:r>
      <w:r>
        <w:t xml:space="preserve"> </w:t>
      </w:r>
      <w:r>
        <w:t xml:space="preserve">(a ~1,0 kg de cimento por bloco) — funciona como teste de razoabilidade do Método B, que lidera o dimensionamento por ser construído com dados locais verificáveis (memória de cálculo no Apêndice A).</w:t>
      </w:r>
    </w:p>
    <w:p>
      <w:pPr>
        <w:pStyle w:val="BodyText"/>
      </w:pPr>
      <w:r>
        <w:rPr>
          <w:bCs/>
          <w:b/>
        </w:rPr>
        <w:t xml:space="preserve">Método B — Bottom-up por vetores de obra.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Habitação nova</w:t>
      </w:r>
      <w:r>
        <w:t xml:space="preserve">: o crescimento populacional de São Mateus (+13,3% entre censos, ~1,2 mil hab/ano [5]) e dos vizinhos, o déficit habitacional de ~3 mil moradias só em São Mateus [62], o MCMV em contratação contínua no estado (18 mil UH em 3 anos [24], incluindo seleções em São Mateus, Nova Venécia, Montanha e 1,3 mil UH do MCMV Rural/Entidades no ES [63][64][65]) e os loteamentos ativos de Guriri [45][46][66] sustentam estimativa de</w:t>
      </w:r>
      <w:r>
        <w:t xml:space="preserve"> </w:t>
      </w:r>
      <w:r>
        <w:rPr>
          <w:bCs/>
          <w:b/>
        </w:rPr>
        <w:t xml:space="preserve">700 a 1.000 novas unidades habitacionais/ano na área de influência</w:t>
      </w:r>
      <w:r>
        <w:t xml:space="preserve"> </w:t>
      </w:r>
      <w:r>
        <w:t xml:space="preserve">(formais + autoconstrução). A 2,2–3 mil blocos por unidade:</w:t>
      </w:r>
      <w:r>
        <w:t xml:space="preserve"> </w:t>
      </w:r>
      <w:r>
        <w:rPr>
          <w:bCs/>
          <w:b/>
        </w:rPr>
        <w:t xml:space="preserve">1,8 a 2,9 milhões de blocos/ano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Muros, reformas, comércio e rural</w:t>
      </w:r>
      <w:r>
        <w:t xml:space="preserve">: em mercados interioranos, o consumo difuso (muros de divisa, ampliações, galpões rurais, currais, poços) tipicamente iguala ou supera a habitação nova:</w:t>
      </w:r>
      <w:r>
        <w:t xml:space="preserve"> </w:t>
      </w:r>
      <w:r>
        <w:rPr>
          <w:bCs/>
          <w:b/>
        </w:rPr>
        <w:t xml:space="preserve">+1,8 a 2,5 milhões de blocos/ano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Pavimentação pública</w:t>
      </w:r>
      <w:r>
        <w:t xml:space="preserve">: o pipeline mapeado no capítulo 8 — só o convênio estadual em execução em São Mateus soma 26 ruas com</w:t>
      </w:r>
      <w:r>
        <w:t xml:space="preserve"> </w:t>
      </w:r>
      <w:r>
        <w:rPr>
          <w:bCs/>
          <w:b/>
        </w:rPr>
        <w:t xml:space="preserve">mais de 32 mil m² de pavimentação em blocos e 10 km de meio-fio de concreto</w:t>
      </w:r>
      <w:r>
        <w:t xml:space="preserve"> </w:t>
      </w:r>
      <w:r>
        <w:t xml:space="preserve">[67][135]; registro de preços municipal ativo de pavimentação em sextavado [68][69]; 13 ruas em Jaguaré [28]; 9 ruas em São Gabriel da Palha [70]; obras em Boa Esperança [71]; e o braço Calçamento Rural do programa estadual, no qual</w:t>
      </w:r>
      <w:r>
        <w:t xml:space="preserve"> </w:t>
      </w:r>
      <w:r>
        <w:rPr>
          <w:bCs/>
          <w:b/>
        </w:rPr>
        <w:t xml:space="preserve">o próprio Estado (SEAG) fornece os blocos intertravados e meios-fios às prefeituras</w:t>
      </w:r>
      <w:r>
        <w:t xml:space="preserve"> </w:t>
      </w:r>
      <w:r>
        <w:t xml:space="preserve">[136] — anualizado de forma conservadora (pacotes plurianuais divididos por 2–3 anos de execução), sustenta demanda pública de</w:t>
      </w:r>
      <w:r>
        <w:t xml:space="preserve"> </w:t>
      </w:r>
      <w:r>
        <w:rPr>
          <w:bCs/>
          <w:b/>
        </w:rPr>
        <w:t xml:space="preserve">40 a 90 mil m² de piso intertravado/sextavado por ano</w:t>
      </w:r>
      <w:r>
        <w:t xml:space="preserve"> </w:t>
      </w:r>
      <w:r>
        <w:t xml:space="preserve">na área de influência e municípios limítrofes, à qual se somam</w:t>
      </w:r>
      <w:r>
        <w:t xml:space="preserve"> </w:t>
      </w:r>
      <w:r>
        <w:rPr>
          <w:bCs/>
          <w:b/>
        </w:rPr>
        <w:t xml:space="preserve">20 a 40 mil m²/ano de obras privadas</w:t>
      </w:r>
      <w:r>
        <w:t xml:space="preserve"> </w:t>
      </w:r>
      <w:r>
        <w:t xml:space="preserve">(calçadas, condomínios, pátios comerciais), além do meio-fio associado.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Pátios agro e indústria</w:t>
      </w:r>
      <w:r>
        <w:t xml:space="preserve">: terreiros e pátios de secagem de café (Jaguaré e Vila Valério = dois maiores produtores do país [41]), pátios de armazéns, postos e bases de petróleo:</w:t>
      </w:r>
      <w:r>
        <w:t xml:space="preserve"> </w:t>
      </w:r>
      <w:r>
        <w:rPr>
          <w:bCs/>
          <w:b/>
        </w:rPr>
        <w:t xml:space="preserve">10 a 30 mil m²/ano</w:t>
      </w:r>
      <w:r>
        <w:t xml:space="preserve"> </w:t>
      </w:r>
      <w:r>
        <w:t xml:space="preserve">adicionais de piso pesado.</w:t>
      </w:r>
    </w:p>
    <w:p>
      <w:pPr>
        <w:pStyle w:val="BodyText"/>
      </w:pPr>
      <w:r>
        <w:rPr>
          <w:bCs/>
          <w:b/>
        </w:rPr>
        <w:t xml:space="preserve">Convergência.</w:t>
      </w:r>
      <w:r>
        <w:t xml:space="preserve"> </w:t>
      </w:r>
      <w:r>
        <w:t xml:space="preserve">Os dois métodos convergem para um mercado anual na área de influência da ordem de</w:t>
      </w:r>
      <w:r>
        <w:t xml:space="preserve"> </w:t>
      </w:r>
      <w:r>
        <w:rPr>
          <w:bCs/>
          <w:b/>
        </w:rPr>
        <w:t xml:space="preserve">4 a 6 milhões de blocos-equivalentes + 70 a 150 mil m² de pavimentação intertravada</w:t>
      </w:r>
      <w:r>
        <w:t xml:space="preserve">. Em valor, a preços de fábrica da região (cap. 6.4), isso representa um mercado endereçável (SAM) de</w:t>
      </w:r>
      <w:r>
        <w:t xml:space="preserve"> </w:t>
      </w:r>
      <w:r>
        <w:rPr>
          <w:bCs/>
          <w:b/>
        </w:rPr>
        <w:t xml:space="preserve">R$ 16 a 25 milhões/ano</w:t>
      </w:r>
      <w:r>
        <w:t xml:space="preserve">.</w:t>
      </w:r>
    </w:p>
    <w:bookmarkEnd w:id="46"/>
    <w:bookmarkStart w:id="47" w:name="Xbf4cba1c97649f51b78356e26e88699cb97345c"/>
    <w:p>
      <w:pPr>
        <w:pStyle w:val="Heading2"/>
      </w:pPr>
      <w:r>
        <w:t xml:space="preserve">5.4 Capacidade da GTK versus mercado (market share requerido)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Cenário de operação GTK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 anual (blocos-eq + paver)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estimada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do SAM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 1 — ramp-up (40–45% de 1 turno)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~740–830 mil blocos-eq + ~11–13 mil m² paver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~R$ 2,9–3,3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~12–20%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 2 (≈60% de 1 turno)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~1,1 milhão + ~17 mil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~R$ 4,3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~17–27%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 3 — regime (≈75–80% de 1 turno)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~1,4–1,5 milhão + ~21–22 mil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~R$ 5,4–5,8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~22–36%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Teto físico 1 turno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~1,85 milhão de blocos 14 (ou o mix equivalente)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~R$ 7,2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~29–45%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2º turno (expansão futura)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o dobro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~R$ 14,5 milhões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 ampliar raio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Nota: a receita de 100% de 1 turno (R$ 7,24 milhões) é derivada do mix de produção — 40% dos dias em bloco 14 vedação, 20% bloco 14 estrutural, 15% bloco 9, 10% bloco 19/canaleta, 15% paver — multiplicando dias × capacidade × preço-alvo de cada família (memória completa no Apêndice A); os cenários aplicam o percentual de utilização sobre essa base única, a mesma da planilha anexa.</w:t>
      </w:r>
    </w:p>
    <w:p>
      <w:pPr>
        <w:pStyle w:val="BodyText"/>
      </w:pPr>
      <w:r>
        <w:t xml:space="preserve">A leitura honesta desses números:</w:t>
      </w:r>
      <w:r>
        <w:t xml:space="preserve"> </w:t>
      </w:r>
      <w:r>
        <w:rPr>
          <w:bCs/>
          <w:b/>
        </w:rPr>
        <w:t xml:space="preserve">o mercado local absorve com folga o ramp-up dos anos 1 e 2</w:t>
      </w:r>
      <w:r>
        <w:t xml:space="preserve"> </w:t>
      </w:r>
      <w:r>
        <w:t xml:space="preserve">(shares de 12–27%, factíveis para o único fabricante industrial do raio de 50 km, que ainda captura demanda hoje suprida por fábricas da Grande Vitória, pela cerâmica e por produção artesanal). O regime de cruzeiro do ano 3 (~22–36% do SAM) é ambicioso porém alcançável</w:t>
      </w:r>
      <w:r>
        <w:t xml:space="preserve"> </w:t>
      </w:r>
      <w:r>
        <w:rPr>
          <w:bCs/>
          <w:b/>
        </w:rPr>
        <w:t xml:space="preserve">desde que</w:t>
      </w:r>
      <w:r>
        <w:t xml:space="preserve"> </w:t>
      </w:r>
      <w:r>
        <w:t xml:space="preserve">a GTK execute a estratégia comercial do capítulo 12 — ancoragem em licitações municipais, rede de 8–12 revendas e 2–3 contratos com construtoras/agroindústrias. Já a ativação do 2º turno não deve ser presumida no fluxo bancário: é opção real de crescimento condicionada à expansão do raio (Linhares, noroeste do estado, sul da Bahia) e/ou à captura de grandes obras (Petrocity, MCMV-faixa 1 em empreendimento). O projeto financeiro deve, portanto, ser dimensionado para pagar-se em 1 turno — e é o que o capítulo 13 demonstra.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análise-da-concorrência"/>
    <w:p>
      <w:pPr>
        <w:pStyle w:val="Heading1"/>
      </w:pPr>
      <w:r>
        <w:t xml:space="preserve">6. ANÁLISE DA CONCORRÊNCIA</w:t>
      </w:r>
    </w:p>
    <w:bookmarkStart w:id="49" w:name="mapa-competitivo-em-três-círculos"/>
    <w:p>
      <w:pPr>
        <w:pStyle w:val="Heading2"/>
      </w:pPr>
      <w:r>
        <w:t xml:space="preserve">6.1 Mapa competitivo em três círculos</w:t>
      </w:r>
    </w:p>
    <w:p>
      <w:pPr>
        <w:pStyle w:val="FirstParagraph"/>
      </w:pPr>
      <w:r>
        <w:rPr>
          <w:bCs/>
          <w:b/>
        </w:rPr>
        <w:t xml:space="preserve">Círculo 1 — O cluster artesanal do próprio eixo (0 a 40 km).</w:t>
      </w:r>
      <w:r>
        <w:t xml:space="preserve"> </w:t>
      </w:r>
      <w:r>
        <w:t xml:space="preserve">O levantamento de campo digital revelou um dado que o investidor precisa conhecer de partida: o km 35 da ES-381 já é um endereço de pré-moldados. Estão instalados no próprio trecho Nestor Gomes/Nova Verona: Pre Santos Premoldados (km 35, ativa desde 2008) [73], EO Pereira Premoldados (km 35) [74], Blocos Gama (mesmo CEP do trecho, desde 2013) [75], ITT Premoldados (km 28) [76] e Megalaje Premoldados (ES-344, km 32) [77]. Na sede e em Guriri operam Premat Premoldados (desde 1998) [78], Concreto Show/Barra Nova (desde 1998; linha ampla com bloquetes, meio-fio, tubos e manilhas) [79], Marcos Blocos [80], Guriri Premoldados e Granitos (2019) [81], Pré-Moldado da Ilha, NG Premoldados (2023) [82] e outros registros menores [83][84]. São, em geral, empresas de pequeno porte, com máquinas manuais ou semiautomáticas (poncheiras/vibroprensas de baixa produção), sem certificação NBR/ABCP identificada, vendendo bloco de vedação, lajes e artefatos diversos para o varejo local.</w:t>
      </w:r>
    </w:p>
    <w:p>
      <w:pPr>
        <w:pStyle w:val="BodyText"/>
      </w:pPr>
      <w:r>
        <w:t xml:space="preserve">A leitura correta desse cluster é dupla. De um lado, ele</w:t>
      </w:r>
      <w:r>
        <w:t xml:space="preserve"> </w:t>
      </w:r>
      <w:r>
        <w:rPr>
          <w:bCs/>
          <w:b/>
        </w:rPr>
        <w:t xml:space="preserve">prova a demanda</w:t>
      </w:r>
      <w:r>
        <w:t xml:space="preserve">: meia dúzia de produtores sobrevivendo há décadas no mesmo eixo rural só existe porque as vilas do interior mateense, Nova Venécia e Jaguaré compram continuamente. De outro, ele</w:t>
      </w:r>
      <w:r>
        <w:t xml:space="preserve"> </w:t>
      </w:r>
      <w:r>
        <w:rPr>
          <w:bCs/>
          <w:b/>
        </w:rPr>
        <w:t xml:space="preserve">define o posicionamento da GTK</w:t>
      </w:r>
      <w:r>
        <w:t xml:space="preserve">: não adianta nascer para brigar por preço no bloco artesanal de vedação — a vantagem da planta automática está na consistência dimensional e de resistência (que o mercado formal exige e o artesanal não entrega), na escala para atender licitação e construtora sem falhar prazo, no paver (que praticamente nenhum pequeno produz com qualidade NBR 9781) e no custo unitário estruturalmente menor em regime de produção plena.</w:t>
      </w:r>
    </w:p>
    <w:p>
      <w:pPr>
        <w:pStyle w:val="BodyText"/>
      </w:pPr>
      <w:r>
        <w:rPr>
          <w:bCs/>
          <w:b/>
        </w:rPr>
        <w:t xml:space="preserve">Círculo 2 — Polos regionais (60 a 120 km).</w:t>
      </w:r>
      <w:r>
        <w:t xml:space="preserve"> </w:t>
      </w:r>
      <w:r>
        <w:t xml:space="preserve">Em Linhares, a Premolar (desde 1988) é player consolidado de pré-moldados e blocos [85], e existe um concorrente atípico: a fábrica de blocos da unidade prisional (SEJUS), que produz ~1.000 blocos/dia vendidos abaixo do preço de mercado [86] — volume pequeno (≈3% de uma XP350), mas que pontualmente distorce preço em obras públicas locais. Em Nova Venécia, a Cerâmica Manula é híbrida: olaria tradicional que também oferta bloco de concreto, areia e argila [87]. Não foram localizados fabricantes nominais de blocos de concreto em Jaguaré, Conceição da Barra, Pedro Canário, Pinheiros, Boa Esperança, Vila Valério, São Gabriel da Palha, Sooretama e Montanha — um vazio de oferta formal em ~9 municípios e ~230 mil habitantes.</w:t>
      </w:r>
    </w:p>
    <w:p>
      <w:pPr>
        <w:pStyle w:val="BodyText"/>
      </w:pPr>
      <w:r>
        <w:rPr>
          <w:bCs/>
          <w:b/>
        </w:rPr>
        <w:t xml:space="preserve">Círculo 3 — A indústria certificada da Grande Vitória/Aracruz (200 a 260 km).</w:t>
      </w:r>
      <w:r>
        <w:t xml:space="preserve"> </w:t>
      </w:r>
      <w:r>
        <w:t xml:space="preserve">Os três fabricantes com Selo de Qualidade ABCP do estado — Ademar do Bloco (Aracruz, grupo com 45+ anos) [58], Bela Vista Pré-Moldados (Serra, desde 1996, laboratório e frota próprios) [59] e Cidade Engenharia (Serra, que se declara a maior planta de blocos do ES) [60][53] — dominam o mercado metropolitano e as grandes obras. Hoje, quando uma construtora ou prefeitura do norte exige bloco certificado ou paver de norma, a carga sobe a BR-101 pagando 200+ km de frete.</w:t>
      </w:r>
      <w:r>
        <w:t xml:space="preserve"> </w:t>
      </w:r>
      <w:r>
        <w:rPr>
          <w:bCs/>
          <w:b/>
        </w:rPr>
        <w:t xml:space="preserve">Essa é exatamente a demanda que a GTK intercepta</w:t>
      </w:r>
      <w:r>
        <w:t xml:space="preserve">: produto de padrão industrial com frete de 30–70 km. No extremo norte, fabricantes de Teixeira de Freitas–BA (LM, BN Pré-moldados) atendem o sul baiano e ocasionalmente cruzam a divisa [88].</w:t>
      </w:r>
    </w:p>
    <w:p>
      <w:pPr>
        <w:pStyle w:val="BodyText"/>
      </w:pPr>
      <w:r>
        <w:rPr>
          <w:bCs/>
          <w:b/>
        </w:rPr>
        <w:t xml:space="preserve">Substituto — bloco cerâmico.</w:t>
      </w:r>
      <w:r>
        <w:t xml:space="preserve"> </w:t>
      </w:r>
      <w:r>
        <w:t xml:space="preserve">A cerâmica vermelha capixaba produz ~50 milhões de peças/mês (4% do país), com polos no norte, centro e sul, e abastece fortemente a autoconstrução local [89]. O bloco cerâmico é o principal substituto no segmento vedação (cultura de obra local e preço). A resposta competitiva não é frontal: é (i) disputar o segmento estrutural e o paver, onde a cerâmica local não compete; (ii) explorar as vantagens objetivas do concreto na vedação (modularidade, menos argamassa, aceita fbk, muros mais rápidos); e (iii) preço competitivo viabilizado pela escala automática.</w:t>
      </w:r>
    </w:p>
    <w:bookmarkEnd w:id="49"/>
    <w:bookmarkStart w:id="50" w:name="quadro-comparativo"/>
    <w:p>
      <w:pPr>
        <w:pStyle w:val="Heading2"/>
      </w:pPr>
      <w:r>
        <w:t xml:space="preserve">6.2 Quadro comparativo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(dist.)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Porte/tecnologia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Forças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Fraquezas exploráveis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 Santos, EO Pereira, Blocos Gama, ITT, Megalaje [73][74][75][76][77]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ES-381 km 28–35 (0–7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Micro/pequeno, artesanal/semimec.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vedação, lajes, artefatos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identificada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fixo baixo, relação local, fiado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norma/laudo, capacidade limitada, sem paver de norma, qualidade irregular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Premat / Concreto Show / Marcos Blocos e demais [78][79][80][81][82]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Mateus sede/Guriri (30–40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Pequeno, semimec.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Blocos, bloquetes, tubos, meio-fio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identificada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local antiga, ponto de venda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 p/ licitação grande, regularidade, certificação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Premolar [85]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Linhares (~85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Pré-moldados, blocos, postes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identificada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Tradição (1988), mix amplo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em pré-moldados estruturais; frete até o eixo NV–SM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Fábrica prisional SEJUS [86]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Linhares (~85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~1.000 blocos/dia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estrutural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subsidiado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pequeno, sem garantia de fornecimento contínuo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Cerâmica Manula [87]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Venécia (~30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(cerâmica)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Telha, tijolo, bloco concreto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identificada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 forte em NV, frota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 de concreto é linha acessória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Ademar do Bloco [58]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Aracruz (~160–200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Paver, blocos, pré-moldados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Selo ABCP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Qualidade, marca estadual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Frete alto até o norte; 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Bela Vista [59]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 (~220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Blocos A/B/C, paver 35 MPa, meio-fio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Selo ABCP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Laboratório e frota próprios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— frete e distância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Cidade Engenharia [60]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Serra (~220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Industrial (maior do 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Selo ABCP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Escala, grandes 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Idem; foco metropolitano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Cerâmica vermelha regional [89]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Polos norte/centro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mi peças/mês (ES)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Tijolo/telha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 local, capilaridade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atende estrutural/paver; frete de polos</w:t>
            </w:r>
          </w:p>
        </w:tc>
      </w:tr>
    </w:tbl>
    <w:bookmarkEnd w:id="50"/>
    <w:bookmarkStart w:id="51" w:name="densidade-e-concentração"/>
    <w:p>
      <w:pPr>
        <w:pStyle w:val="Heading2"/>
      </w:pPr>
      <w:r>
        <w:t xml:space="preserve">6.3 Densidade e concentração</w:t>
      </w:r>
    </w:p>
    <w:p>
      <w:pPr>
        <w:pStyle w:val="FirstParagraph"/>
      </w:pPr>
      <w:r>
        <w:t xml:space="preserve">Registros ativos do grupo CNAE 23.30-3 em São Mateus somam ao menos 10–14 estabelecimentos [83][84], majoritariamente micro — cerca de</w:t>
      </w:r>
      <w:r>
        <w:t xml:space="preserve"> </w:t>
      </w:r>
      <w:r>
        <w:rPr>
          <w:bCs/>
          <w:b/>
        </w:rPr>
        <w:t xml:space="preserve">1 fabricante para cada 9–12 mil habitantes</w:t>
      </w:r>
      <w:r>
        <w:t xml:space="preserve">, densidade típica de mercado interiorano pulverizado e</w:t>
      </w:r>
      <w:r>
        <w:t xml:space="preserve"> </w:t>
      </w:r>
      <w:r>
        <w:rPr>
          <w:bCs/>
          <w:b/>
        </w:rPr>
        <w:t xml:space="preserve">nenhum deles industrial</w:t>
      </w:r>
      <w:r>
        <w:t xml:space="preserve">. Não há, no primeiro anel da área de influência, um</w:t>
      </w:r>
      <w:r>
        <w:t xml:space="preserve"> </w:t>
      </w:r>
      <w:r>
        <w:t xml:space="preserve">“</w:t>
      </w:r>
      <w:r>
        <w:t xml:space="preserve">CR4</w:t>
      </w:r>
      <w:r>
        <w:t xml:space="preserve">”</w:t>
      </w:r>
      <w:r>
        <w:t xml:space="preserve"> </w:t>
      </w:r>
      <w:r>
        <w:t xml:space="preserve">relevante: a concorrência formal de escala simplesmente está fora do raio de 150 km. A estrutura competitiva local é, portanto, de</w:t>
      </w:r>
      <w:r>
        <w:t xml:space="preserve"> </w:t>
      </w:r>
      <w:r>
        <w:rPr>
          <w:bCs/>
          <w:b/>
        </w:rPr>
        <w:t xml:space="preserve">mercado fragmentado com vazio no segmento industrial-certificado</w:t>
      </w:r>
      <w:r>
        <w:t xml:space="preserve"> </w:t>
      </w:r>
      <w:r>
        <w:t xml:space="preserve">— a posição que a GTK ocupará. A barreira de entrada que protegerá essa posição depois de ocupada é alta: replicar a planta exige R$ 2,7+ milhões em equipamentos, 12–18 meses de implantação e a curva de aprendizagem do processo — enquanto a GTK terá contratos, marca e rede de revenda estabelecidos.</w:t>
      </w:r>
    </w:p>
    <w:bookmarkEnd w:id="51"/>
    <w:bookmarkStart w:id="52" w:name="preços-de-referência"/>
    <w:p>
      <w:pPr>
        <w:pStyle w:val="Heading2"/>
      </w:pPr>
      <w:r>
        <w:t xml:space="preserve">6.4 Preços de referência</w:t>
      </w:r>
    </w:p>
    <w:p>
      <w:pPr>
        <w:pStyle w:val="FirstParagraph"/>
      </w:pPr>
      <w:r>
        <w:t xml:space="preserve">Nenhum fabricante capixaba publica tabela; as referências triangulam tabelas oficiais e mercado nacional (validar com cotação local na implantação — ver plano de ação):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oficial SINAPI-ES 06/2026 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 nacional 2025/26 [90][26]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Preço-alvo GTK</w:t>
            </w:r>
            <w:r>
              <w:t xml:space="preserve"> </w:t>
            </w:r>
            <w:r>
              <w:t xml:space="preserve">“</w:t>
            </w:r>
            <w:r>
              <w:t xml:space="preserve">posto fábrica</w:t>
            </w:r>
            <w:r>
              <w:t xml:space="preserve">”</w:t>
            </w:r>
            <w:r>
              <w:t xml:space="preserve"> </w:t>
            </w:r>
            <w:r>
              <w:t xml:space="preserve">(premissa conservadora)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 vedação 9×19×39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(estrutural fbk 4,5: R$ 3,30)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R$ 3,60–4,60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R$ 2,60–3,00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 vedação 14×19×39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R$ 3,50–6,50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R$ 3,20–3,60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 estrutural 14×19×39 fbk 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R$ 4,80–5,25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R$ 4,00–5,30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R$ 4,20–4,80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 estrutural 19×19×39 fbk 4,5–8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R$ 5,94–6,63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R$ 5,20–5,90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Canaleta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R$ 3,08 (14×19×19)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R$ 3,00–3,60 (14×19×39)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Paver 35 MPa e=6 cm (m²)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R$ 69,97–88,39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R$ 55–95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R$ 52–62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Paver 35 MPa e=8 cm (m²)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R$ 95,76–105,58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R$ 80–130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R$ 68–80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Sextavado e=8/10 (m²)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R$ 95,76–126,57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R$ 70–95</w:t>
            </w:r>
          </w:p>
        </w:tc>
      </w:tr>
    </w:tbl>
    <w:p>
      <w:pPr>
        <w:pStyle w:val="BodyText"/>
      </w:pPr>
      <w:r>
        <w:t xml:space="preserve">Os preços-alvo da GTK posicionam-se deliberadamente 10–25% abaixo da mediana SINAPI (que reflete preço ao consumidor final com margem de revenda) — margem suficiente para remunerar a revenda, ganhar licitação e ainda assim preservar a rentabilidade demonstrada no capítulo 13, graças ao custo variável industrial de ~R$ 1,85/bloco (cap. 13.2).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cadeia-de-suprimentos-e-fornecedores"/>
    <w:p>
      <w:pPr>
        <w:pStyle w:val="Heading1"/>
      </w:pPr>
      <w:r>
        <w:t xml:space="preserve">7. CADEIA DE SUPRIMENTOS E FORNECEDORES</w:t>
      </w:r>
    </w:p>
    <w:bookmarkStart w:id="54" w:name="X7eec59040bf686f922fa5d45f7bb8529c4cb95f"/>
    <w:p>
      <w:pPr>
        <w:pStyle w:val="Heading2"/>
      </w:pPr>
      <w:r>
        <w:t xml:space="preserve">7.1 Cimento — o insumo crítico (35–45% do custo variável)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Fornecedores identificados</w:t>
      </w:r>
      <w:r>
        <w:t xml:space="preserve">: Mizu Cimentos (unidade de moagem em Vitória, ~220 km — CP II-E e CP III de escória, adequados a artefatos com boa cura) [91]; Cimento Nassau (fábrica em Cachoeiro de Itapemirim, ~340 km) [92]; marcas distribuídas no varejo do ES (Bravo, Nacional, Itaú) para contingência ensacada. Referência de preço a granel nacional 2025:</w:t>
      </w:r>
      <w:r>
        <w:t xml:space="preserve"> </w:t>
      </w:r>
      <w:r>
        <w:rPr>
          <w:bCs/>
          <w:b/>
        </w:rPr>
        <w:t xml:space="preserve">R$ 350–550/t</w:t>
      </w:r>
      <w:r>
        <w:t xml:space="preserve"> </w:t>
      </w:r>
      <w:r>
        <w:t xml:space="preserve">[93], à qual se soma frete de ~R$ 60–100/t até a planta.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Estratégia recomendada</w:t>
      </w:r>
      <w:r>
        <w:t xml:space="preserve">: contrato de fornecimento a granel com 2 cimenteiras homologadas (titular + backup), recebimento em carreta graneleira no silo de 90 t (autonomia ≈13 dias úteis), gatilhos de reajuste trimestrais e teste de traço a cada troca de tipo/lote de cimento. Para pavers de 50 MPa, avaliar CP V-ARI de moagens de MG/RJ via distribuidor.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Risco e mitigação</w:t>
      </w:r>
      <w:r>
        <w:t xml:space="preserve">: dependência de poucos ofertantes regionais (a cimenteira mais próxima está a 220 km) → silo grande já adquirido + duplo fornecedor + monitorar a entrada de novos players (o setor está em consolidação nacional — venda da divisão de cimento da CSN em curso em 2026 [94]).</w:t>
      </w:r>
    </w:p>
    <w:bookmarkEnd w:id="54"/>
    <w:bookmarkStart w:id="55" w:name="agregados-2030-do-custo-variável"/>
    <w:p>
      <w:pPr>
        <w:pStyle w:val="Heading2"/>
      </w:pPr>
      <w:r>
        <w:t xml:space="preserve">7.2 Agregados (20–30% do custo variável)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Brita 0/pó de pedra</w:t>
      </w:r>
      <w:r>
        <w:t xml:space="preserve">: Mineração Usibrita, em Jaguaré (~35–45 km) — pedreira ativa desde 2015, apontada entre as maiores do CNAE de britamento no ES [9][95]; alternativas: Pedreira Mattar (Pinheiros, ~55–60 km) [96] e Britanorte (Linhares, ~84 km) [97]. Preços de referência: pó de pedra ~R$ 149–156/m³ e brita ~R$ 180–190/m³ (referências varejo/SINAPI-ES; negociar preço de pedreira com contrato de volume) [11].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Areia</w:t>
      </w:r>
      <w:r>
        <w:t xml:space="preserve">: areais do vale do Cricaré/região — fornecedor nominal a homologar na implantação (lacuna do levantamento digital; oferta local existe via depósitos como a própria Cerâmica Manula, que vende areia [87]); referência SINAPI-ES: areia média posto jazida R$ 95/m³ [11].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Estratégia</w:t>
      </w:r>
      <w:r>
        <w:t xml:space="preserve">: contrato anual com a pedreira de Jaguaré (5–6 caçambas/semana em produção plena) com frete incluso; homologar granulometrias (a qualidade do pó de pedra define o acabamento do paver); estoque coberto para 1–2 semanas de chuva.</w:t>
      </w:r>
    </w:p>
    <w:bookmarkEnd w:id="55"/>
    <w:bookmarkStart w:id="56" w:name="aditivos-pigmentos-e-consumíveis"/>
    <w:p>
      <w:pPr>
        <w:pStyle w:val="Heading2"/>
      </w:pPr>
      <w:r>
        <w:t xml:space="preserve">7.3 Aditivos, pigmentos e consumíveis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Plastificante para concreto seco (CVP)</w:t>
      </w:r>
      <w:r>
        <w:t xml:space="preserve">: linha dedicada MC-Bauchemie Murasan (ex-BWA 16 / Hydrotech 16) [98] e alternativas nacionais (Aditibras) [99]; consumo típico 0,2–0,4% sobre o cimento — pequeno em custo, grande em produtividade (desmolde limpo, menos quebra).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Pigmentos (pavers coloridos)</w:t>
      </w:r>
      <w:r>
        <w:t xml:space="preserve">: óxidos de ferro Bayferrox/Lanxess via distribuidores (Quimar) [100][101] — habilitam a linha premium de paver colorido dupla camada.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Bandejas e pallets</w:t>
      </w:r>
      <w:r>
        <w:t xml:space="preserve">: bandejas 700×550 mm em madeira (≥25 mm) ou aço (≥10 mm) — item NÃO incluso na proposta; cotação com o próprio fabricante da máquina e com madeireiras/fábricas de pallet locais: ABN Paletes (atende São Mateus e Linhares) [10], Real Norte Madeiras (São Mateus), Morozini (Linhares), JPS Embalagens (pallets para blocos, nacional) [102]. Parque inicial recomendado: ≈5.000 bandejas — o ponto médio da faixa de 4.000 a 6.000 do cap. 3.5, equivalente a 2–3 dias de produção em ciclo de cura — + 1.500–2.500 pallets de expedição.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Peças de reposição</w:t>
      </w:r>
      <w:r>
        <w:t xml:space="preserve">: a proposta destaca que 95% das peças de reposição são de mercado (rolamentos, sensores IFM, inversores Lenze, hidráulica Parker, CLP Emerson, elétrica Schneider/ABB) — reduz dependência do fabricante; manter kit crítico em estoque (mangueiras, sensores, correias).</w:t>
      </w:r>
    </w:p>
    <w:bookmarkEnd w:id="56"/>
    <w:bookmarkStart w:id="57" w:name="energia-combustível-e-utilidades"/>
    <w:p>
      <w:pPr>
        <w:pStyle w:val="Heading2"/>
      </w:pPr>
      <w:r>
        <w:t xml:space="preserve">7.4 Energia, combustível e utilidades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Energia</w:t>
      </w:r>
      <w:r>
        <w:t xml:space="preserve">: EDP Espírito Santo, ligação rural trifásica em média tensão (Grupo A) com transformador particular — a norma da distribuidora admite subestação simplificada até 300 kVA [13], confortável para os ~90 kVA da planta; contratar demanda com folga de 15–20% e modalidade tarifária verde. Atenção ao reajuste médio de +15,53% homologado em 2025 [14][15]: prever cláusula de repasse em contratos longos de fornecimento e estudar usina solar no telhado (o perfil de consumo diurno da fábrica é ideal para autoconsumo).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Diesel</w:t>
      </w:r>
      <w:r>
        <w:t xml:space="preserve"> </w:t>
      </w:r>
      <w:r>
        <w:t xml:space="preserve">(pá carregadeira): postos/TRR da região; consumo estimado 15–25 L/dia.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Água</w:t>
      </w:r>
      <w:r>
        <w:t xml:space="preserve">: 200 L/min em picos — poço artesanal outorgado + reservatório de 20–30 m³ (investimento incluído no CAPEX complementar); recircular água de cura.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Máquinas de pátio</w:t>
      </w:r>
      <w:r>
        <w:t xml:space="preserve">: pá carregadeira (dealer Caterpillar Sotreq em Serra [103]; alternativas usadas no mercado regional) e empilhadeira para expedição.</w:t>
      </w:r>
    </w:p>
    <w:bookmarkEnd w:id="57"/>
    <w:bookmarkStart w:id="58" w:name="serviços-técnicos"/>
    <w:p>
      <w:pPr>
        <w:pStyle w:val="Heading2"/>
      </w:pPr>
      <w:r>
        <w:t xml:space="preserve">7.5 Serviços técnicos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Laboratório de ensaios</w:t>
      </w:r>
      <w:r>
        <w:t xml:space="preserve"> </w:t>
      </w:r>
      <w:r>
        <w:t xml:space="preserve">(NBR 6136/12118/9781): Concretest (Serra) e Brascontec, com atuação estadual [51][52] — campanha mensal de corpos de prova + ensaios de tipo a cada novo traço; custo estimado R$ 1,5–3 mil/mês.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Responsável técnico</w:t>
      </w:r>
      <w:r>
        <w:t xml:space="preserve">: engenheiro civil (ART de produção) parcial; obrigatório para laudos de licitação.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Transportadoras</w:t>
      </w:r>
      <w:r>
        <w:t xml:space="preserve">: praça de São Mateus com diretório ativo [104]; estratégia recomendada: frete próprio terceirizado fixo (1 truck agregado) + spot para picos.</w:t>
      </w:r>
    </w:p>
    <w:bookmarkEnd w:id="58"/>
    <w:bookmarkStart w:id="59" w:name="Xfccb08475e451e3bbba2c3d1a68b6cd54500d4c"/>
    <w:p>
      <w:pPr>
        <w:pStyle w:val="Heading2"/>
      </w:pPr>
      <w:r>
        <w:t xml:space="preserve">7.6 Poder de barganha e riscos de abastecimento — síntese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Concentração da 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 de barganha do fornecedor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 GTK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(2 plantas no 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Silo 90 t; 2 fornecedores; janela de compra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Brita/pó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(3 pedreiras ≤ 90 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anual + alternativa Pinheiros/Linhares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Pulverizada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Homologar 2 areais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Aditivo/pigmento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Nacional, competitiva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marcas homologadas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Monopólio regulado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(tarifa)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A verde; solar futura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Bandejas/pallets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Local, competitiva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Madeireiras locais + reposição contínua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6" w:name="clientes-potenciais-e-canais-de-venda"/>
    <w:p>
      <w:pPr>
        <w:pStyle w:val="Heading1"/>
      </w:pPr>
      <w:r>
        <w:t xml:space="preserve">8. CLIENTES POTENCIAIS E CANAIS DE VENDA</w:t>
      </w:r>
    </w:p>
    <w:bookmarkStart w:id="61" w:name="X830a61a7f8473326b6bb98a527fba0e5d32fb71"/>
    <w:p>
      <w:pPr>
        <w:pStyle w:val="Heading2"/>
      </w:pPr>
      <w:r>
        <w:t xml:space="preserve">8.1 B2G — o pipeline público mapeado (âncora de volume)</w:t>
      </w:r>
    </w:p>
    <w:p>
      <w:pPr>
        <w:pStyle w:val="FirstParagraph"/>
      </w:pPr>
      <w:r>
        <w:t xml:space="preserve">O sinal mais forte do levantamento é que</w:t>
      </w:r>
      <w:r>
        <w:t xml:space="preserve"> </w:t>
      </w:r>
      <w:r>
        <w:rPr>
          <w:bCs/>
          <w:b/>
        </w:rPr>
        <w:t xml:space="preserve">as prefeituras da área de influência padronizaram a pavimentação urbana em bloco de concreto</w:t>
      </w:r>
      <w:r>
        <w:t xml:space="preserve"> </w:t>
      </w:r>
      <w:r>
        <w:t xml:space="preserve">e mantêm programas contínuos: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São Mateus</w:t>
      </w:r>
      <w:r>
        <w:t xml:space="preserve">: Concorrência Eletrônica 001/2025 (pavimentação com blocos sextavados e meio-fio) e CE 005/2025 —</w:t>
      </w:r>
      <w:r>
        <w:t xml:space="preserve"> </w:t>
      </w:r>
      <w:r>
        <w:rPr>
          <w:bCs/>
          <w:b/>
        </w:rPr>
        <w:t xml:space="preserve">registro de preços</w:t>
      </w:r>
      <w:r>
        <w:t xml:space="preserve"> </w:t>
      </w:r>
      <w:r>
        <w:t xml:space="preserve">para pavimentação em sextavado [68][69]; convênio estadual de</w:t>
      </w:r>
      <w:r>
        <w:t xml:space="preserve"> </w:t>
      </w:r>
      <w:r>
        <w:rPr>
          <w:bCs/>
          <w:b/>
        </w:rPr>
        <w:t xml:space="preserve">R$ 7 milhões para 26 ruas em blocos de concreto — mais de 32 mil m² de pavimentação e 10 km de meio-fio</w:t>
      </w:r>
      <w:r>
        <w:t xml:space="preserve"> </w:t>
      </w:r>
      <w:r>
        <w:t xml:space="preserve">— em seis bairros, incluindo Km 41/Maria Preta, vizinhos imediatos da planta, com recursos do acordo de reparação do Rio Doce geridos pela SERD [67][135]; requalificação de ciclovias em sextavado [68]; pacote estadual &gt;R$ 35 milhões em urbanização [67][105]; calçamento rural do DER-ES no município [106].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Jaguaré</w:t>
      </w:r>
      <w:r>
        <w:t xml:space="preserve">: 13 ruas com blocos de concreto + drenagem (R$ 4,3 milhões via Fundo Cidades), dentro de pacote de R$ 23 milhões [28][107].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São Gabriel da Palha</w:t>
      </w:r>
      <w:r>
        <w:t xml:space="preserve">: R$ 4,1 milhões em drenagem + pavimentação em blocos + calçada cidadã (9 ruas) e convênio adicional de R$ 2,7 milhões [70].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Boa Esperança</w:t>
      </w:r>
      <w:r>
        <w:t xml:space="preserve">: 24 ruas / 22,9 mil m² pavimentados (R$ 3,56 milhões) e pacote estadual &gt;R$ 45 milhões com casas populares [71].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Pinheiros / Pedro Canário</w:t>
      </w:r>
      <w:r>
        <w:t xml:space="preserve">: estrada intermunicipal com 10.000 m² em bloco holandês e 12,7 mil m² de blocos instalados em Pedro Canário em obras estaduais [108][109].</w:t>
      </w:r>
      <w:r>
        <w:t xml:space="preserve"> </w:t>
      </w:r>
      <w:r>
        <w:rPr>
          <w:iCs/>
          <w:i/>
        </w:rPr>
        <w:t xml:space="preserve">Nota de rigor: as publicações não datam essas obras (parte pode ser de 2021–2023); por isso elas são tratadas neste estudo apenas como comprovação histórica do padrão regional de pavimentar em blocos — e ficam FORA da soma de demanda anual do §5.3.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Linhares</w:t>
      </w:r>
      <w:r>
        <w:t xml:space="preserve"> </w:t>
      </w:r>
      <w:r>
        <w:t xml:space="preserve">(2º anel): padrão municipal de pavimentar bairros com intertravado</w:t>
      </w:r>
      <w:r>
        <w:t xml:space="preserve"> </w:t>
      </w:r>
      <w:r>
        <w:t xml:space="preserve">“</w:t>
      </w:r>
      <w:r>
        <w:t xml:space="preserve">Pav’s</w:t>
      </w:r>
      <w:r>
        <w:t xml:space="preserve">”</w:t>
      </w:r>
      <w:r>
        <w:t xml:space="preserve">; pacote 2026 de R$ 59 milhões em macrodrenagem/mobilidade; R$ 30 milhões em pavimentação rural [56][57][110][111].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Estado</w:t>
      </w:r>
      <w:r>
        <w:t xml:space="preserve">: o programa</w:t>
      </w:r>
      <w:r>
        <w:t xml:space="preserve"> </w:t>
      </w:r>
      <w:r>
        <w:rPr>
          <w:bCs/>
          <w:b/>
        </w:rPr>
        <w:t xml:space="preserve">Caminhos do Campo</w:t>
      </w:r>
      <w:r>
        <w:t xml:space="preserve"> </w:t>
      </w:r>
      <w:r>
        <w:t xml:space="preserve">(SEAG/DER-ES) pavimenta estradas rurais há mais de 20 anos [72][112] e anunciou novo ciclo de</w:t>
      </w:r>
      <w:r>
        <w:t xml:space="preserve"> </w:t>
      </w:r>
      <w:r>
        <w:rPr>
          <w:bCs/>
          <w:b/>
        </w:rPr>
        <w:t xml:space="preserve">476 km adicionais</w:t>
      </w:r>
      <w:r>
        <w:t xml:space="preserve"> </w:t>
      </w:r>
      <w:r>
        <w:t xml:space="preserve">[137]; no braço complementar</w:t>
      </w:r>
      <w:r>
        <w:t xml:space="preserve"> </w:t>
      </w:r>
      <w:r>
        <w:rPr>
          <w:bCs/>
          <w:b/>
        </w:rPr>
        <w:t xml:space="preserve">Calçamento Rural</w:t>
      </w:r>
      <w:r>
        <w:t xml:space="preserve">, o desenho é ainda mais direto para a GTK:</w:t>
      </w:r>
      <w:r>
        <w:t xml:space="preserve"> </w:t>
      </w:r>
      <w:r>
        <w:rPr>
          <w:bCs/>
          <w:b/>
        </w:rPr>
        <w:t xml:space="preserve">a SEAG fornece os blocos intertravados e os meios-fios de concreto e as prefeituras executam as obras</w:t>
      </w:r>
      <w:r>
        <w:t xml:space="preserve"> </w:t>
      </w:r>
      <w:r>
        <w:t xml:space="preserve">[136] — ou seja, o Estado é comprador direto e recorrente de exatamente o produto da fábrica (reportagem setorial registra R$ 257,4 milhões em contratos do programa no biênio 2024–2025 [72]);</w:t>
      </w:r>
      <w:r>
        <w:t xml:space="preserve"> </w:t>
      </w:r>
      <w:r>
        <w:rPr>
          <w:bCs/>
          <w:b/>
        </w:rPr>
        <w:t xml:space="preserve">Sooretama</w:t>
      </w:r>
      <w:r>
        <w:t xml:space="preserve"> </w:t>
      </w:r>
      <w:r>
        <w:t xml:space="preserve">com avenidas a pavimentar em 2026 [113][114]; programa habitacional estadual (Nossa Casa/subsídio de entrada) ativo [115].</w:t>
      </w:r>
    </w:p>
    <w:p>
      <w:pPr>
        <w:pStyle w:val="FirstParagraph"/>
      </w:pPr>
      <w:r>
        <w:rPr>
          <w:bCs/>
          <w:b/>
        </w:rPr>
        <w:t xml:space="preserve">Como vender para esse segmento</w:t>
      </w:r>
      <w:r>
        <w:t xml:space="preserve">: (i) cadastrar-se como fornecedor nas prefeituras do raio e no PNCP; (ii) disputar as atas de registro de preços de material (quando o município compra o bloco e executa com equipe própria — modelo comum no interior); (iii) fornecer às empreiteiras vencedoras das obras estaduais (DER-ES, Fundo Cidades, Caminhos do Campo) — venda B2B sem licitar; (iv) manter laudos NBR 9781/6136 prontos, que são exigência editalícia e barreira contra o concorrente artesanal.</w:t>
      </w:r>
    </w:p>
    <w:bookmarkEnd w:id="61"/>
    <w:bookmarkStart w:id="62" w:name="X016ddbffbe7c293b6ccc08caab4c9f7d423fca8"/>
    <w:p>
      <w:pPr>
        <w:pStyle w:val="Heading2"/>
      </w:pPr>
      <w:r>
        <w:t xml:space="preserve">8.2 B2B — construtoras, loteadores e agroindústria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Loteamentos de Guriri/São Mateus</w:t>
      </w:r>
      <w:r>
        <w:t xml:space="preserve">: Soma Urbanismo (Golden Guriri &gt;70% vendido; Prestige Guriri em lançamento; Soma Vibe) [45][46][66] — cada lote vendido vira obra de muro e casa em 1–3 anos; o loteador também compra paver para as vias internas e calçadas.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Construtoras MCMV do polo Linhares</w:t>
      </w:r>
      <w:r>
        <w:t xml:space="preserve">: Recanto Construtora (2,2 mil unidades e VGV de R$ 737 milhões previstos para 2026 em Linhares e Grande Vitória) [116] e congêneres — alvenaria estrutural intensiva em bloco certificado.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Agro do café</w:t>
      </w:r>
      <w:r>
        <w:t xml:space="preserve">: produtores e cooperativas de Jaguaré, Vila Valério, Nova Venécia e Boa Esperança (dois maiores municípios cafeeiros do Brasil no raio de 45 km [41]) — pátios de secagem, terreiros suspensos, galpões e muros; venda direta com entrega na fazenda.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Petróleo e indústria</w:t>
      </w:r>
      <w:r>
        <w:t xml:space="preserve">: bases e pátios da cadeia do petróleo terrestre (Seacrest e prestadoras — R$ 1 bi/ano em investimentos na região [38][30]), expansão da Marcopolo em São Mateus [42] e obras futuras da Petrocity [47][48]: pavers pesados H8/H10, piso grama para estacionamentos, blocos para muros e edificações de apoio.</w:t>
      </w:r>
    </w:p>
    <w:bookmarkEnd w:id="62"/>
    <w:bookmarkStart w:id="63" w:name="b2b-revendas-capilaridade-e-giro"/>
    <w:p>
      <w:pPr>
        <w:pStyle w:val="Heading2"/>
      </w:pPr>
      <w:r>
        <w:t xml:space="preserve">8.3 B2B — revendas (capilaridade e giro)</w:t>
      </w:r>
    </w:p>
    <w:p>
      <w:pPr>
        <w:pStyle w:val="FirstParagraph"/>
      </w:pPr>
      <w:r>
        <w:t xml:space="preserve">Rede de depósitos mapeada para distribuição na área de influência: Casa Melhor (São Mateus, 30+ anos, forte no digital) [117], Normadel (São Mateus, desde 1989) [118], lojas ABC da Construção em São Mateus, Jaguaré e Linhares [119][120], Furlan (Nova Venécia) [121], Dalla Home Center e Constrular/Ribamac (Linhares) [122] — além dos depósitos de bairro e das vilas rurais (Nestor Gomes, KM 41, Santa Leocádia etc.).</w:t>
      </w:r>
      <w:r>
        <w:t xml:space="preserve"> </w:t>
      </w:r>
      <w:r>
        <w:rPr>
          <w:bCs/>
          <w:b/>
        </w:rPr>
        <w:t xml:space="preserve">Meta comercial</w:t>
      </w:r>
      <w:r>
        <w:t xml:space="preserve">: 8–12 revendas ativas com pedido quinzenal programado; a revenda ganha margem de 25–35% sobre o preço de fábrica e resolve o varejo pulverizado sem custo comercial para a GTK.</w:t>
      </w:r>
    </w:p>
    <w:bookmarkEnd w:id="63"/>
    <w:bookmarkStart w:id="64" w:name="b2c-balcão-de-fábrica"/>
    <w:p>
      <w:pPr>
        <w:pStyle w:val="Heading2"/>
      </w:pPr>
      <w:r>
        <w:t xml:space="preserve">8.4 B2C — balcão de fábrica</w:t>
      </w:r>
    </w:p>
    <w:p>
      <w:pPr>
        <w:pStyle w:val="FirstParagraph"/>
      </w:pPr>
      <w:r>
        <w:t xml:space="preserve">A localização na rodovia, com as vilas do interior em volta, favorece venda direta de balcão ao autoconstrutor (à vista, retirada ou entrega local) — margem cheia e propaganda orgânica. Recomenda-se showroom simples na entrada da fábrica (muretas montadas, pavers assentados coloridos, tabela clara) e presença ativa em grupos locais de WhatsApp/Facebook e no Google Maps.</w:t>
      </w:r>
    </w:p>
    <w:bookmarkEnd w:id="64"/>
    <w:bookmarkStart w:id="65" w:name="funil-comercial-quantificado-meta-ano-12"/>
    <w:p>
      <w:pPr>
        <w:pStyle w:val="Heading2"/>
      </w:pPr>
      <w:r>
        <w:t xml:space="preserve">8.5 Funil comercial quantificado (meta ano 1–2)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Clientes-alvo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típico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de participação na receita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Licitações/atas + empreiteiras de obra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6–9 prefeituras + DER/empreiteiras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R$ 80–600 mil/contrato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 depósitos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R$ 8–25 mil/mês 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Construtoras/loteadores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contas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R$ 30–150 mil/obra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Agro/indústria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contas/ano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R$ 10–80 mil/projeto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Balcão/autoconstrução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pulverizado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R$ 0,3–3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logística-e-escoamento"/>
    <w:p>
      <w:pPr>
        <w:pStyle w:val="Heading1"/>
      </w:pPr>
      <w:r>
        <w:t xml:space="preserve">9. LOGÍSTICA E ESCOAMENTO</w:t>
      </w:r>
    </w:p>
    <w:bookmarkStart w:id="67" w:name="a-geografia-a-favor"/>
    <w:p>
      <w:pPr>
        <w:pStyle w:val="Heading2"/>
      </w:pPr>
      <w:r>
        <w:t xml:space="preserve">9.1 A geografia a favor</w:t>
      </w:r>
    </w:p>
    <w:p>
      <w:pPr>
        <w:pStyle w:val="FirstParagraph"/>
      </w:pPr>
      <w:r>
        <w:t xml:space="preserve">A planta despacha por um eixo asfaltado com manutenção recente do DER-ES [8] e alcança: Nova Venécia (~30 km, 30–35 min), a malha de vilas do interior mateense (0–20 km), Jaguaré (~32 km pela ligação vicinal), a sede de São Mateus e a BR-101 (~35 km) — e, pela BR-101, Conceição da Barra/Pedro Canário ao norte e Sooretama/Linhares ao sul. O novo ciclo de investimentos da concessionária Ecovias na BR-101 norte (terceiras faixas entre Linhares e Pedro Canário até 2027 [31]) melhora progressivamente o corredor.</w:t>
      </w:r>
    </w:p>
    <w:bookmarkEnd w:id="67"/>
    <w:bookmarkStart w:id="68" w:name="economia-do-frete"/>
    <w:p>
      <w:pPr>
        <w:pStyle w:val="Heading2"/>
      </w:pPr>
      <w:r>
        <w:t xml:space="preserve">9.2 Economia do frete</w:t>
      </w:r>
    </w:p>
    <w:p>
      <w:pPr>
        <w:pStyle w:val="FirstParagraph"/>
      </w:pPr>
      <w:r>
        <w:t xml:space="preserve">Regras práticas que devem governar o comercial (memória no Apêndice A): um caminhão truck de 13–14 t de carga útil transporta</w:t>
      </w:r>
      <w:r>
        <w:t xml:space="preserve"> </w:t>
      </w:r>
      <w:r>
        <w:rPr>
          <w:bCs/>
          <w:b/>
        </w:rPr>
        <w:t xml:space="preserve">~1.090–1.180 blocos de 14</w:t>
      </w:r>
      <w:r>
        <w:t xml:space="preserve"> </w:t>
      </w:r>
      <w:r>
        <w:t xml:space="preserve">(a ~11,9 kg/un [44]) ou</w:t>
      </w:r>
      <w:r>
        <w:t xml:space="preserve"> </w:t>
      </w:r>
      <w:r>
        <w:rPr>
          <w:bCs/>
          <w:b/>
        </w:rPr>
        <w:t xml:space="preserve">~95–105 m² de paver e=6</w:t>
      </w:r>
      <w:r>
        <w:t xml:space="preserve"> </w:t>
      </w:r>
      <w:r>
        <w:t xml:space="preserve">(~135 kg/m²). A R$ 7–9 por km rodado (frete regional, ida carregada + retorno vazio), a entrega a 30 km (60 km rodados) custa R$ 420–540 por viagem —</w:t>
      </w:r>
      <w:r>
        <w:t xml:space="preserve"> </w:t>
      </w:r>
      <w:r>
        <w:rPr>
          <w:bCs/>
          <w:b/>
        </w:rPr>
        <w:t xml:space="preserve">R$ 0,36–0,49 por bloco</w:t>
      </w:r>
      <w:r>
        <w:t xml:space="preserve"> </w:t>
      </w:r>
      <w:r>
        <w:t xml:space="preserve">(11–15% do preço de tabela). Já o concorrente da Grande Vitória, mesmo otimizando em carreta de 25–30 t (~2.100–2.500 blocos), percorre ~400 km no ciclo e paga R$ 3.200–4.000 —</w:t>
      </w:r>
      <w:r>
        <w:t xml:space="preserve"> </w:t>
      </w:r>
      <w:r>
        <w:rPr>
          <w:bCs/>
          <w:b/>
        </w:rPr>
        <w:t xml:space="preserve">R$ 1,30–1,90 por bloco</w:t>
      </w:r>
      <w:r>
        <w:t xml:space="preserve"> </w:t>
      </w:r>
      <w:r>
        <w:t xml:space="preserve">(40–58% do preço). Esse diferencial de 3 a 5 vezes é a tradução monetária da vantagem locacional: dentro do raio de 60 km, nenhum concorrente industrial consegue competir em preço entregue com a GTK sem sacrificar margem.</w:t>
      </w:r>
    </w:p>
    <w:bookmarkEnd w:id="68"/>
    <w:bookmarkStart w:id="69" w:name="modelo-operacional-recomendado"/>
    <w:p>
      <w:pPr>
        <w:pStyle w:val="Heading2"/>
      </w:pPr>
      <w:r>
        <w:t xml:space="preserve">9.3 Modelo operacional recomendado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Frota</w:t>
      </w:r>
      <w:r>
        <w:t xml:space="preserve">: iniciar com 1 caminhão truck com munck (carga paletizada = descarga em 20 min e menos quebra) — próprio ou agregado fixo — complementado por fretistas spot da praça de São Mateus [104]; avaliar 2º veículo no ano 2.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Política comercial de frete</w:t>
      </w:r>
      <w:r>
        <w:t xml:space="preserve">: preço</w:t>
      </w:r>
      <w:r>
        <w:t xml:space="preserve"> </w:t>
      </w:r>
      <w:r>
        <w:t xml:space="preserve">“</w:t>
      </w:r>
      <w:r>
        <w:t xml:space="preserve">posto fábrica</w:t>
      </w:r>
      <w:r>
        <w:t xml:space="preserve">”</w:t>
      </w:r>
      <w:r>
        <w:t xml:space="preserve"> </w:t>
      </w:r>
      <w:r>
        <w:t xml:space="preserve">+ tabela de frete por faixa de km (0–20 / 21–40 / 41–70 / &gt;70), com frete grátis acima de volume mínimo dentro do 1º anel — simples, transparente e protege margem.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Paletização</w:t>
      </w:r>
      <w:r>
        <w:t xml:space="preserve">: o ST800 automatiza a formação de pallets; padronizar pallet PBR/descartável com cintagem, cobrável e retornável para revendas — reduz quebra (meta &lt;2%) e tempo de carga.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Estoque</w:t>
      </w:r>
      <w:r>
        <w:t xml:space="preserve">: pátio para 30–45 dias de produção como pulmão de sazonalidade (chuvas de novembro–janeiro reduzem obra e pátio segura venda de fevereiro–setembro).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análise-swot-e-atratividade"/>
    <w:p>
      <w:pPr>
        <w:pStyle w:val="Heading1"/>
      </w:pPr>
      <w:r>
        <w:t xml:space="preserve">10. ANÁLISE SWOT E ATRATIVIDADE</w:t>
      </w:r>
    </w:p>
    <w:bookmarkStart w:id="71" w:name="swot-mercadológica"/>
    <w:p>
      <w:pPr>
        <w:pStyle w:val="Heading2"/>
      </w:pPr>
      <w:r>
        <w:t xml:space="preserve">10.1 SWOT mercadológica</w:t>
      </w:r>
    </w:p>
    <w:p>
      <w:pPr>
        <w:pStyle w:val="FirstParagraph"/>
      </w:pPr>
      <w:r>
        <w:rPr>
          <w:bCs/>
          <w:b/>
        </w:rPr>
        <w:t xml:space="preserve">FORÇAS (internas)</w:t>
      </w:r>
      <w:r>
        <w:t xml:space="preserve"> </w:t>
      </w:r>
      <w:r>
        <w:t xml:space="preserve">- Única planta automática de escala industrial no raio de ~150 km, com supervisório, paletização automática e potencial de certificação NBR/ABCP inédita no norte do interior capixaba;</w:t>
      </w:r>
      <w:r>
        <w:t xml:space="preserve"> </w:t>
      </w:r>
      <w:r>
        <w:t xml:space="preserve">- Localização no baricentro do mercado (São Mateus–Nova Venécia–Jaguaré), com frete 5 a 10 vezes menor que o dos concorrentes industriais da Grande Vitória;</w:t>
      </w:r>
      <w:r>
        <w:t xml:space="preserve"> </w:t>
      </w:r>
      <w:r>
        <w:t xml:space="preserve">- Custo variável estruturalmente baixo (vibrocompactação economiza até 15% de cimento; automação reduz mão de obra por peça);</w:t>
      </w:r>
      <w:r>
        <w:t xml:space="preserve"> </w:t>
      </w:r>
      <w:r>
        <w:t xml:space="preserve">- Flexibilidade de mix com troca de molde em 15–20 minutos (atende licitação, construtora, revenda e balcão com a mesma linha);</w:t>
      </w:r>
      <w:r>
        <w:t xml:space="preserve"> </w:t>
      </w:r>
      <w:r>
        <w:t xml:space="preserve">- Silo de 90 t e central de 4 cubas = autonomia de insumos e consistência de traço;</w:t>
      </w:r>
      <w:r>
        <w:t xml:space="preserve"> </w:t>
      </w:r>
      <w:r>
        <w:t xml:space="preserve">- Capital societário robusto (capital social de R$ 7,5 milhões subscrito) e equipamento novo com garantia e 95% das peças de reposição de mercado.</w:t>
      </w:r>
    </w:p>
    <w:p>
      <w:pPr>
        <w:pStyle w:val="BodyText"/>
      </w:pPr>
      <w:r>
        <w:rPr>
          <w:bCs/>
          <w:b/>
        </w:rPr>
        <w:t xml:space="preserve">FRAQUEZAS (internas)</w:t>
      </w:r>
      <w:r>
        <w:t xml:space="preserve"> </w:t>
      </w:r>
      <w:r>
        <w:t xml:space="preserve">- Empresa e marca novas, sem histórico operacional ou carteira formada — tudo por construir;</w:t>
      </w:r>
      <w:r>
        <w:t xml:space="preserve"> </w:t>
      </w:r>
      <w:r>
        <w:t xml:space="preserve">- Sócios em curva de aprendizagem no ramo (mitigada por treinamento do fabricante, startup assistido e este estudo);</w:t>
      </w:r>
      <w:r>
        <w:t xml:space="preserve"> </w:t>
      </w:r>
      <w:r>
        <w:t xml:space="preserve">- Operação mono-planta e mono-linha: parada da vibroprensa para a fábrica inteira (mitigação: manutenção preventiva, kit de peças críticas, contrato de assistência Gervasi);</w:t>
      </w:r>
      <w:r>
        <w:t xml:space="preserve"> </w:t>
      </w:r>
      <w:r>
        <w:t xml:space="preserve">- Dependência inicial de poucos itens de alto giro (bloco 14) até a maturação do mix;</w:t>
      </w:r>
      <w:r>
        <w:t xml:space="preserve"> </w:t>
      </w:r>
      <w:r>
        <w:t xml:space="preserve">- CAPEX complementar (galpão, cura, bandejas, pá carregadeira, energia) ainda a executar — risco de subdimensionamento de orçamento e prazo.</w:t>
      </w:r>
    </w:p>
    <w:p>
      <w:pPr>
        <w:pStyle w:val="BodyText"/>
      </w:pPr>
      <w:r>
        <w:rPr>
          <w:bCs/>
          <w:b/>
        </w:rPr>
        <w:t xml:space="preserve">OPORTUNIDADES (externas)</w:t>
      </w:r>
      <w:r>
        <w:t xml:space="preserve"> </w:t>
      </w:r>
      <w:r>
        <w:t xml:space="preserve">- Vazio de oferta industrial-certificada em ~9 municípios e 230+ mil habitantes do 1º e 2º anéis;</w:t>
      </w:r>
      <w:r>
        <w:t xml:space="preserve"> </w:t>
      </w:r>
      <w:r>
        <w:t xml:space="preserve">- Pipeline público contratado e recorrente de pavimentação em blocos (São Mateus R$ 7 mi + registro de preços; Jaguaré R$ 4,3 mi; São Gabriel R$ 4,1 mi; Caminhos do Campo R$ 257 mi estadual) [68][67][28][71][70][72];</w:t>
      </w:r>
      <w:r>
        <w:t xml:space="preserve"> </w:t>
      </w:r>
      <w:r>
        <w:t xml:space="preserve">- Ciclo de investimentos regionais: petróleo (R$ 1 bi/ano na região), Marcopolo, Linhares R$ 3,4 bi, Guriri imobiliário, BR-101 [45][38][42][43][31];</w:t>
      </w:r>
      <w:r>
        <w:t xml:space="preserve"> </w:t>
      </w:r>
      <w:r>
        <w:t xml:space="preserve">- MCMV em ciclo forte (18 mil UH contratadas no ES 2023–25) e déficit habitacional local (~3 mil moradias em São Mateus) [24][62];</w:t>
      </w:r>
      <w:r>
        <w:t xml:space="preserve"> </w:t>
      </w:r>
      <w:r>
        <w:t xml:space="preserve">- Migração secular de cerâmica para concreto na vedação e de asfalto para intertravado em vias urbanas de tráfego leve [26][27][12];</w:t>
      </w:r>
      <w:r>
        <w:t xml:space="preserve"> </w:t>
      </w:r>
      <w:r>
        <w:t xml:space="preserve">- Crédito subsidiado FNE/Sudene disponível para a região (ES com R$ 1,3 bi no FNE 2026; indústria é setor prioritário) [123][124][125] — reduz custo de capital do projeto;</w:t>
      </w:r>
      <w:r>
        <w:t xml:space="preserve"> </w:t>
      </w:r>
      <w:r>
        <w:t xml:space="preserve">- Possibilidade futura de 2º turno dobrando a produção sem novo CAPEX de máquina.</w:t>
      </w:r>
    </w:p>
    <w:p>
      <w:pPr>
        <w:pStyle w:val="BodyText"/>
      </w:pPr>
      <w:r>
        <w:rPr>
          <w:bCs/>
          <w:b/>
        </w:rPr>
        <w:t xml:space="preserve">AMEAÇAS (externas)</w:t>
      </w:r>
      <w:r>
        <w:t xml:space="preserve"> </w:t>
      </w:r>
      <w:r>
        <w:t xml:space="preserve">- Juros altos prolongados (Selic 15%) esfriando a construção privada [34][35];</w:t>
      </w:r>
      <w:r>
        <w:t xml:space="preserve"> </w:t>
      </w:r>
      <w:r>
        <w:t xml:space="preserve">- Concorrência artesanal local por preço no segmento vedação e concorrente subsidiado pontual (fábrica prisional de Linhares) [86];</w:t>
      </w:r>
      <w:r>
        <w:t xml:space="preserve"> </w:t>
      </w:r>
      <w:r>
        <w:t xml:space="preserve">- Reação dos players certificados da Grande Vitória (abertura de CD ou agressividade em licitações do norte);</w:t>
      </w:r>
      <w:r>
        <w:t xml:space="preserve"> </w:t>
      </w:r>
      <w:r>
        <w:t xml:space="preserve">- Custo de energia em alta (+15,53% na revisão da EDP ES 2025) e do cimento (setor em consolidação) [14][93];</w:t>
      </w:r>
      <w:r>
        <w:t xml:space="preserve"> </w:t>
      </w:r>
      <w:r>
        <w:t xml:space="preserve">- Sazonalidade climática (chuvas de verão) e dependência do calendário de licitações municipais;</w:t>
      </w:r>
      <w:r>
        <w:t xml:space="preserve"> </w:t>
      </w:r>
      <w:r>
        <w:t xml:space="preserve">- Risco de execução do CAPEX complementar (galpão/energia) atrasar o start-up ou consumir capital de giro.</w:t>
      </w:r>
    </w:p>
    <w:bookmarkEnd w:id="71"/>
    <w:bookmarkStart w:id="72" w:name="Xc85c1f1f5db51bc2aefe1466b75f5e9256451ef"/>
    <w:p>
      <w:pPr>
        <w:pStyle w:val="Heading2"/>
      </w:pPr>
      <w:r>
        <w:t xml:space="preserve">10.2 Scoring de atratividade de mercado (10 fatores)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(0–10)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Urgência/necessidade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básico de consumo contínuo; pipeline público 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 do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 R$ 16–25 mi/ano na área de influência; anéis expansíveis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Potencial de precificação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Preço-alvo abaixo do SINAPI com margem &gt;40%; prêmio no 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de aquisição de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Revendas e licitações = canais baratos; balcão orgânico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de entrega do 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alto já equacionado; custo variável 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Exclusividade da 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Única industrial no raio; barreira de capital e curva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Velocidade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150–180 dias de fábrica + obras civis; janela suficiente antes de reação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Investimento × 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Payback estimado 4–6 anos com FNE (cap. 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Produtos secundários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Pavers coloridos, piso grama, canaletas, futura argamassa/meio-fio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recorrente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preços, revendas com pedido programado, reposição contínua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77/100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Interpretação</w:t>
      </w:r>
      <w:r>
        <w:t xml:space="preserve">: acima de 75 pontos —</w:t>
      </w:r>
      <w:r>
        <w:t xml:space="preserve"> </w:t>
      </w:r>
      <w:r>
        <w:rPr>
          <w:bCs/>
          <w:b/>
        </w:rPr>
        <w:t xml:space="preserve">mercado altamente atrativo</w:t>
      </w:r>
      <w:r>
        <w:t xml:space="preserve">, com ressalva de execução concentrada nos fatores 7 e 8 (cronograma de implantação e disciplina financeira no ramp-up).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matriz-de-riscos-e-mitigadores"/>
    <w:p>
      <w:pPr>
        <w:pStyle w:val="Heading1"/>
      </w:pPr>
      <w:r>
        <w:t xml:space="preserve">11. MATRIZ DE RISCOS E MITIGADORES</w:t>
      </w:r>
    </w:p>
    <w:p>
      <w:pPr>
        <w:pStyle w:val="FirstParagraph"/>
      </w:pPr>
      <w:r>
        <w:t xml:space="preserve">Nenhum negócio é</w:t>
      </w:r>
      <w:r>
        <w:t xml:space="preserve"> </w:t>
      </w:r>
      <w:r>
        <w:t xml:space="preserve">“</w:t>
      </w:r>
      <w:r>
        <w:t xml:space="preserve">à prova de erro</w:t>
      </w:r>
      <w:r>
        <w:t xml:space="preserve">”</w:t>
      </w:r>
      <w:r>
        <w:t xml:space="preserve"> </w:t>
      </w:r>
      <w:r>
        <w:t xml:space="preserve">— o que existe é risco conhecido, medido e tratado. A matriz abaixo é o mapa honesto do que pode dar errado e do que fazer a respeito. Probabilidade (P) e Impacto (I) em escala Baixo/Médio/Alto; os 5 riscos críticos estão destacados.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Ramp-up comercial mais lento que o previsto (fábrica pronta, venda devagar)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Iniciar comercial 4–6 meses ANTES do start-up (cadastros em prefeituras, atas, revendas pré-contratadas); meta de 40% de utilização já coberta por canais no dia 1; pátio como pulmão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Subdimensionar CAPEX complementar/capital de giro (galpão, bandejas, cura, energia, estoque)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Financeiro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Orçar com folga de 15–20% (cap. 13); cronograma físico-financeiro integrado; não iniciar obra sem funding total equacionado (FNE)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Guerra de preço local no bloco de vedação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Concorrência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ancorar a receita na vedação: mix com estrutural, paver e B2G onde o artesanal não compete; custo variável menor permite responder sem sangrar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Atraso/qualidade na execução do galpão e utilidades → atraso do start-up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Contratar obra com empreiteiro referenciado e multa de prazo; energia (EDP) e licença ambiental protocoladas de imediato — são os itens de maior lead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Quebra prolongada da vibroprensa (linha única)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Preventiva rigorosa; kit de peças críticas; contrato de assistência Gervasi (remota + local); seguro de lucros cessantes avaliado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do cimento acima do repasse possível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fornecedores; compra em janelas; cláusulas de reajuste em contratos B2G/B2B; economia de 15% da vibrocompactação como colchão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Falha de qualidade (bloco fora de norma) em lote de licitação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Operacional/Reputacional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Laboratório mensal + controle interno diário (umidade/peso/dimensional); rastreabilidade por lote; não vender estrutural sem ensaio do traço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Sazonalidade de chuvas parar obras (nov–jan)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Estoque-pulmão; calendário comercial puxando licitações no 1º semestre; férias coletivas/manutenção programada no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Inadimplência de revendas e empreiteiras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crédito por cliente; B2G via empenho; antecipação de recebíveis apenas excepcional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Dependência de 1 pedreira para brita/pó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 com Usibrita + homologar Mattar (Pinheiros) e Britanorte (Linhares) como backup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Licença ambiental atrasar ou exigir condicionantes caras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Protocolar cedo (IEMA/municipal); atividade de baixo potencial poluidor; consultor ambiental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de energia subir de novo (histórico +15,5%)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A tarifa verde; produção fora de ponta; projeto solar no ano 2–3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Reação dos certificados da Grande Vitória (CD no norte)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Ocupar rápido licitações e revendas (contratos anuais); vantagem de frete permanece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Perda de pessoa-chave / equipe sem experiência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Treinamento Gervasi no startup; documentar receitas/traços no supervisório; reter operador líder com variável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Projeção de demanda pública frustrar (eleições/troca de gestão municipal)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Diversificação de 5 canais; nunca &gt;35% da receita em B2G; contratos estaduais (DER/Caminhos do Campo) além dos municipais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Roubo/vandalismo em planta 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Cercamento, câmeras, vigilância eletrônica, seguro patrimonial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Mortalidade típica do setor (27,3% das indústrias de transformação fecham em 5 anos [126][127])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estudo + gestão por indicadores (cap. 14) + capital adequado: as causas clássicas (falta de planejamento, capital de giro e controle) são endereçadas uma a uma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80" w:name="estratégia-mercadológica"/>
    <w:p>
      <w:pPr>
        <w:pStyle w:val="Heading1"/>
      </w:pPr>
      <w:r>
        <w:t xml:space="preserve">12. ESTRATÉGIA MERCADOLÓGICA</w:t>
      </w:r>
    </w:p>
    <w:bookmarkStart w:id="75" w:name="posicionamento"/>
    <w:p>
      <w:pPr>
        <w:pStyle w:val="Heading2"/>
      </w:pPr>
      <w:r>
        <w:t xml:space="preserve">12.1 Posicionamento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O bloco de fábrica, do lado da sua obra.</w:t>
      </w:r>
      <w:r>
        <w:rPr>
          <w:bCs/>
          <w:b/>
        </w:rPr>
        <w:t xml:space="preserve">”</w:t>
      </w:r>
      <w:r>
        <w:t xml:space="preserve"> </w:t>
      </w:r>
      <w:r>
        <w:t xml:space="preserve">A GTK deve se posicionar como a fábrica industrial e certificada da região — qualidade de Grande Vitória com frete de vizinho — nem a mais barata do balcão, nem commodity artesanal. Promessa central:</w:t>
      </w:r>
      <w:r>
        <w:t xml:space="preserve"> </w:t>
      </w:r>
      <w:r>
        <w:rPr>
          <w:iCs/>
          <w:i/>
        </w:rPr>
        <w:t xml:space="preserve">peça dentro da norma, entrega no prazo, no volume que a obra precisar</w:t>
      </w:r>
      <w:r>
        <w:t xml:space="preserve">.</w:t>
      </w:r>
    </w:p>
    <w:bookmarkEnd w:id="75"/>
    <w:bookmarkStart w:id="76" w:name="produto"/>
    <w:p>
      <w:pPr>
        <w:pStyle w:val="Heading2"/>
      </w:pPr>
      <w:r>
        <w:t xml:space="preserve">12.2 Produto</w:t>
      </w:r>
    </w:p>
    <w:p>
      <w:pPr>
        <w:numPr>
          <w:ilvl w:val="0"/>
          <w:numId w:val="1013"/>
        </w:numPr>
        <w:pStyle w:val="Compact"/>
      </w:pPr>
      <w:r>
        <w:t xml:space="preserve">Lançar com 4 famílias: bloco 14 (vedação e estrutural fbk 6/8), bloco 9, canaleta 14 e paver 35 MPa e=6/8 (natural + 2 cores);</w:t>
      </w:r>
    </w:p>
    <w:p>
      <w:pPr>
        <w:numPr>
          <w:ilvl w:val="0"/>
          <w:numId w:val="1013"/>
        </w:numPr>
        <w:pStyle w:val="Compact"/>
      </w:pPr>
      <w:r>
        <w:t xml:space="preserve">Certificar cedo: ensaios NBR desde o 1º mês e, no ano 2, pleitear o Selo ABCP — seria o 4º do estado e o 1º do norte [53], transformando qualidade em barreira;</w:t>
      </w:r>
    </w:p>
    <w:p>
      <w:pPr>
        <w:numPr>
          <w:ilvl w:val="0"/>
          <w:numId w:val="1013"/>
        </w:numPr>
        <w:pStyle w:val="Compact"/>
      </w:pPr>
      <w:r>
        <w:t xml:space="preserve">Ampliar no ano 2–3: bloco 19, sextavado (padrão das licitações de São Mateus), piso grama, mini-guia e paver 50 MPa.</w:t>
      </w:r>
    </w:p>
    <w:bookmarkEnd w:id="76"/>
    <w:bookmarkStart w:id="77" w:name="preço"/>
    <w:p>
      <w:pPr>
        <w:pStyle w:val="Heading2"/>
      </w:pPr>
      <w:r>
        <w:t xml:space="preserve">12.3 Preço</w:t>
      </w:r>
    </w:p>
    <w:p>
      <w:pPr>
        <w:numPr>
          <w:ilvl w:val="0"/>
          <w:numId w:val="1014"/>
        </w:numPr>
        <w:pStyle w:val="Compact"/>
      </w:pPr>
      <w:r>
        <w:t xml:space="preserve">Tabela posto-fábrica 10–25% abaixo da mediana SINAPI-ES [11], com política por canal: balcão (cheio), revenda (–25 a –35%), construtora/volume (–10 a –20%), licitação (custo + margem alvo ≥25% de contribuição);</w:t>
      </w:r>
    </w:p>
    <w:p>
      <w:pPr>
        <w:numPr>
          <w:ilvl w:val="0"/>
          <w:numId w:val="1014"/>
        </w:numPr>
        <w:pStyle w:val="Compact"/>
      </w:pPr>
      <w:r>
        <w:t xml:space="preserve">Frete tabelado por faixa de km; à vista/PIX com 3–5% de desconto; B2G/B2B faturado 28 dias com limite de crédito.</w:t>
      </w:r>
    </w:p>
    <w:bookmarkEnd w:id="77"/>
    <w:bookmarkStart w:id="78" w:name="praça-canais"/>
    <w:p>
      <w:pPr>
        <w:pStyle w:val="Heading2"/>
      </w:pPr>
      <w:r>
        <w:t xml:space="preserve">12.4 Praça (canais)</w:t>
      </w:r>
    </w:p>
    <w:p>
      <w:pPr>
        <w:numPr>
          <w:ilvl w:val="0"/>
          <w:numId w:val="1015"/>
        </w:numPr>
        <w:pStyle w:val="Compact"/>
      </w:pPr>
      <w:r>
        <w:t xml:space="preserve">Ano 1: 8–12 revendas ativas + cadastro/participação em todas as licitações de pavimentação do 1º anel + balcão de fábrica estruturado;</w:t>
      </w:r>
    </w:p>
    <w:p>
      <w:pPr>
        <w:numPr>
          <w:ilvl w:val="0"/>
          <w:numId w:val="1015"/>
        </w:numPr>
        <w:pStyle w:val="Compact"/>
      </w:pPr>
      <w:r>
        <w:t xml:space="preserve">Ano 2: contratos com 2–3 construtoras/loteadores (Guriri/Linhares) e agro do café; explorar 2º anel (Linhares, noroeste, extremo norte);</w:t>
      </w:r>
    </w:p>
    <w:p>
      <w:pPr>
        <w:numPr>
          <w:ilvl w:val="0"/>
          <w:numId w:val="1015"/>
        </w:numPr>
        <w:pStyle w:val="Compact"/>
      </w:pPr>
      <w:r>
        <w:t xml:space="preserve">Regra de ouro: nenhum canal acima de 35% da receita.</w:t>
      </w:r>
    </w:p>
    <w:bookmarkEnd w:id="78"/>
    <w:bookmarkStart w:id="79" w:name="promoção"/>
    <w:p>
      <w:pPr>
        <w:pStyle w:val="Heading2"/>
      </w:pPr>
      <w:r>
        <w:t xml:space="preserve">12.5 Promoção</w:t>
      </w:r>
    </w:p>
    <w:p>
      <w:pPr>
        <w:numPr>
          <w:ilvl w:val="0"/>
          <w:numId w:val="1016"/>
        </w:numPr>
        <w:pStyle w:val="Compact"/>
      </w:pPr>
      <w:r>
        <w:t xml:space="preserve">Identidade e presença digital básicas (Google Maps/Perfil da Empresa, Instagram com obras reais, WhatsApp comercial);</w:t>
      </w:r>
    </w:p>
    <w:p>
      <w:pPr>
        <w:numPr>
          <w:ilvl w:val="0"/>
          <w:numId w:val="1016"/>
        </w:numPr>
        <w:pStyle w:val="Compact"/>
      </w:pPr>
      <w:r>
        <w:t xml:space="preserve">Showroom na rodovia (a própria fachada da fábrica é mídia: milhares de veículos/dia no eixo SM–NV);</w:t>
      </w:r>
    </w:p>
    <w:p>
      <w:pPr>
        <w:numPr>
          <w:ilvl w:val="0"/>
          <w:numId w:val="1016"/>
        </w:numPr>
        <w:pStyle w:val="Compact"/>
      </w:pPr>
      <w:r>
        <w:t xml:space="preserve">Relacionamento técnico: visitas a engenheiros das prefeituras e construtoras com laudo em mãos; palestra/demonstração em sindicatos rurais e cooperativas de café;</w:t>
      </w:r>
    </w:p>
    <w:p>
      <w:pPr>
        <w:numPr>
          <w:ilvl w:val="0"/>
          <w:numId w:val="1016"/>
        </w:numPr>
        <w:pStyle w:val="Compact"/>
      </w:pPr>
      <w:r>
        <w:t xml:space="preserve">Marco de lançamento: inauguração com autoridades locais e imprensa regional (TC Online, portais do norte) — pauta natural de</w:t>
      </w:r>
      <w:r>
        <w:t xml:space="preserve"> </w:t>
      </w:r>
      <w:r>
        <w:t xml:space="preserve">“</w:t>
      </w:r>
      <w:r>
        <w:t xml:space="preserve">nova indústria no interior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análise-econômico-financeira"/>
    <w:p>
      <w:pPr>
        <w:pStyle w:val="Heading1"/>
      </w:pPr>
      <w:r>
        <w:t xml:space="preserve">13. ANÁLISE ECONÔMICO-FINANCEIRA</w:t>
      </w:r>
    </w:p>
    <w:p>
      <w:pPr>
        <w:pStyle w:val="FirstParagraph"/>
      </w:pPr>
      <w:r>
        <w:rPr>
          <w:iCs/>
          <w:i/>
        </w:rPr>
        <w:t xml:space="preserve">Este capítulo apresenta o racional econômico em base conservadora, com todas as premissas explícitas, para leitura conjunta com o módulo de capacidade de pagamento do projeto de crédito. Valores em R$ de agosto/2026.</w:t>
      </w:r>
    </w:p>
    <w:bookmarkStart w:id="81" w:name="investimento-total-do-projeto"/>
    <w:p>
      <w:pPr>
        <w:pStyle w:val="Heading2"/>
      </w:pPr>
      <w:r>
        <w:t xml:space="preserve">13.1 Investimento total do projeto</w:t>
      </w:r>
    </w:p>
    <w:p>
      <w:pPr>
        <w:pStyle w:val="FirstParagraph"/>
      </w:pPr>
      <w:r>
        <w:t xml:space="preserve">Bloco de investimento | Valor (R$) | Base |</w:t>
      </w:r>
    </w:p>
    <w:p>
      <w:pPr>
        <w:pStyle w:val="BodyText"/>
      </w:pPr>
      <w:r>
        <w:t xml:space="preserve">|—|—|—|</w:t>
      </w:r>
      <w:r>
        <w:t xml:space="preserve"> </w:t>
      </w:r>
      <w:r>
        <w:t xml:space="preserve">| Linha Gervasi XP350 completa (proposta REV00) | 2.723.000 | Proposta 12/05/2026 |</w:t>
      </w:r>
      <w:r>
        <w:t xml:space="preserve"> </w:t>
      </w:r>
      <w:r>
        <w:t xml:space="preserve">| Galpão industrial ≈1.500 m² cobertos (estrutura + cobertura + piso) | 1.900.000–2.600.000 | R$ 1.250–1.900/m² p/ pré-moldado/metálico [128][129]; inclui piso industrial e fundações da linha |</w:t>
      </w:r>
      <w:r>
        <w:t xml:space="preserve"> </w:t>
      </w:r>
      <w:r>
        <w:t xml:space="preserve">| Obras externas: terraplanagem, pátio de cura e estoque, acessos, cercamento, reservatório/poço | 350.000–550.000 | estimativa paramétrica local |</w:t>
      </w:r>
      <w:r>
        <w:t xml:space="preserve"> </w:t>
      </w:r>
      <w:r>
        <w:t xml:space="preserve">| Entrada de energia MT (subestação simplificada ~112,5–150 kVA) + instalações elétricas internas | 120.000–180.000 | norma EDP [13] + mercado |</w:t>
      </w:r>
      <w:r>
        <w:t xml:space="preserve"> </w:t>
      </w:r>
      <w:r>
        <w:t xml:space="preserve">| Bandejas (≈5.000 un) + estantes/gaiolas de cura + pallets iniciais | 280.000–420.000 | mercado (item não incluso na proposta) |</w:t>
      </w:r>
      <w:r>
        <w:t xml:space="preserve"> </w:t>
      </w:r>
      <w:r>
        <w:t xml:space="preserve">| Pá carregadeira (seminova) + empilhadeira | 280.000–420.000 | mercado [103] |</w:t>
      </w:r>
      <w:r>
        <w:t xml:space="preserve"> </w:t>
      </w:r>
      <w:r>
        <w:t xml:space="preserve">| Compressor, ferramentaria, laboratório interno básico, EPIs | 60.000–90.000 | mercado |</w:t>
      </w:r>
      <w:r>
        <w:t xml:space="preserve"> </w:t>
      </w:r>
      <w:r>
        <w:t xml:space="preserve">| Licenças, projetos, ART, consultorias, seguro-obra | 60.000–100.000 | mercado |</w:t>
      </w:r>
      <w:r>
        <w:t xml:space="preserve"> </w:t>
      </w:r>
      <w:r>
        <w:t xml:space="preserve">| Montagem, frete dos equipamentos (FOB Içara-SC), startup | 120.000–180.000 | proposta (excluídos) + frete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Subtotal CAPEX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5.893.000–7.263.000</w:t>
      </w:r>
      <w:r>
        <w:t xml:space="preserve"> </w:t>
      </w:r>
      <w:r>
        <w:t xml:space="preserve">| |</w:t>
      </w:r>
      <w:r>
        <w:t xml:space="preserve"> </w:t>
      </w:r>
      <w:r>
        <w:t xml:space="preserve">| Capital de giro inicial (estoque de insumos + 60–75 dias de custo operacional + colchão do ramp-up) | 700.000–900.000 | cap. 13.4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INVESTIMENTO TOTAL DO PROJETO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≈6,6–8,2 milhões</w:t>
      </w:r>
      <w:r>
        <w:t xml:space="preserve"> </w:t>
      </w:r>
      <w:r>
        <w:t xml:space="preserve">| |</w:t>
      </w:r>
    </w:p>
    <w:p>
      <w:pPr>
        <w:pStyle w:val="BodyText"/>
      </w:pPr>
      <w:r>
        <w:t xml:space="preserve">O capital social subscrito de R$ 7,5 milhões é coerente com essa ordem de grandeza, e o total encontra respaldo em guias de custo de implantação de fábricas do setor [22]. A estrutura de funding recomendada é FNE/BNB para o CAPEX financiável (equipamentos + obras civis, tipicamente com carência e prazo longo; indústria é setor prioritário do FNE 2026 [123][124]) com contrapartida própria no capital de giro — desenho a detalhar no módulo financeiro do projeto de crédito. Quanto à elegibilidade territorial, não há ambiguidade:</w:t>
      </w:r>
      <w:r>
        <w:t xml:space="preserve"> </w:t>
      </w:r>
      <w:r>
        <w:rPr>
          <w:bCs/>
          <w:b/>
        </w:rPr>
        <w:t xml:space="preserve">a área de atuação legal da Sudene inclui 31 municípios do norte do Espírito Santo (LC nº 185/2021), entre eles São Mateus e todos os demais oito municípios da área de influência deste estudo</w:t>
      </w:r>
      <w:r>
        <w:t xml:space="preserve"> </w:t>
      </w:r>
      <w:r>
        <w:t xml:space="preserve">[132][133][130].</w:t>
      </w:r>
    </w:p>
    <w:bookmarkEnd w:id="81"/>
    <w:bookmarkStart w:id="82" w:name="Xb1e79b4f8072154974801033279301f2e415352"/>
    <w:p>
      <w:pPr>
        <w:pStyle w:val="Heading2"/>
      </w:pPr>
      <w:r>
        <w:t xml:space="preserve">13.2 Custo variável unitário (produto-base: bloco 14×19×39 vedação)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unitário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Custo/bloco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Cimento (granel, posto silo)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 kg [17]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R$ 0,55/kg (R$ 450/t + frete) [93]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Agregados (areia + pó + pedrisco, posto fábrica)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~0,0054 m³ (~11 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~R$ 165/m³ médio c/ frete [11][9]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Aditivo plastificante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0,3% s/ 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[98]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Energia elétrica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~0,055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~R$ 0,80/kWh médio Grupo A [14]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Mão de obra direta (6 pessoas c/ encargos ÷ produção)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R$ 32 mil/mês ÷ 154 mil blocos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Manutenção, moldes e desgaste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 pá carregadeira + consumíveis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R$ 0,04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 variável industrial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≈R$ 1,85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Tributos sobre venda (Simples Nacional indústria, faixa relevante)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~8,5% s/ PV R$ 3,30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R$ 0,28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Frete médio embutido (parcela CIF do mix)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R$ 0,15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 variável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≈R$ 2,28</w:t>
            </w:r>
          </w:p>
        </w:tc>
      </w:tr>
    </w:tbl>
    <w:p>
      <w:pPr>
        <w:pStyle w:val="BodyText"/>
      </w:pPr>
      <w:r>
        <w:rPr>
          <w:bCs/>
          <w:b/>
        </w:rPr>
        <w:t xml:space="preserve">Margem de contribuição no bloco 14 vedação</w:t>
      </w:r>
      <w:r>
        <w:t xml:space="preserve">: R$ 3,30 (preço médio de tabela) – R$ 2,28 ≈</w:t>
      </w:r>
      <w:r>
        <w:t xml:space="preserve"> </w:t>
      </w:r>
      <w:r>
        <w:rPr>
          <w:bCs/>
          <w:b/>
        </w:rPr>
        <w:t xml:space="preserve">R$ 1,02/bloco (31%)</w:t>
      </w:r>
      <w:r>
        <w:t xml:space="preserve">. Nos produtos nobres a margem é maior: bloco estrutural fbk 6–8 (PV R$ 4,50; CV ~R$ 2,60 com traço mais rico) ≈</w:t>
      </w:r>
      <w:r>
        <w:t xml:space="preserve"> </w:t>
      </w:r>
      <w:r>
        <w:rPr>
          <w:bCs/>
          <w:b/>
        </w:rPr>
        <w:t xml:space="preserve">R$ 1,90/un (42%)</w:t>
      </w:r>
      <w:r>
        <w:t xml:space="preserve">; paver e=6 (PV R$ 57/m²; CV ~R$ 30/m² incluindo pigmento parcial) ≈</w:t>
      </w:r>
      <w:r>
        <w:t xml:space="preserve"> </w:t>
      </w:r>
      <w:r>
        <w:rPr>
          <w:bCs/>
          <w:b/>
        </w:rPr>
        <w:t xml:space="preserve">R$ 27/m² (47%)</w:t>
      </w:r>
      <w:r>
        <w:t xml:space="preserve">. É por isso que a estratégia empurra o mix para estrutural + paver.</w:t>
      </w:r>
    </w:p>
    <w:bookmarkEnd w:id="82"/>
    <w:bookmarkStart w:id="83" w:name="custos-fixos-mensais-regime-1-turno"/>
    <w:p>
      <w:pPr>
        <w:pStyle w:val="Heading2"/>
      </w:pPr>
      <w:r>
        <w:t xml:space="preserve">13.3 Custos fixos mensais (regime, 1 turno)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R$/mês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Administração (gestor comercial/adm., auxiliar, contador, sistema)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Pró-labore técnico-gerencial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Demanda contratada + consumo mínimo de energia, água, telecom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Laboratório externo + responsável técnico (ART)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Seguros, vigilância eletrônica, limpeza, EPI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Comercial/marketing recorrente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Manutenção predial e miudezas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fixo desembolsável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≈52.000</w:t>
            </w:r>
          </w:p>
        </w:tc>
      </w:tr>
    </w:tbl>
    <w:bookmarkEnd w:id="83"/>
    <w:bookmarkStart w:id="84" w:name="ponto-de-equilíbrio-e-cenários"/>
    <w:p>
      <w:pPr>
        <w:pStyle w:val="Heading2"/>
      </w:pPr>
      <w:r>
        <w:t xml:space="preserve">13.4 Ponto de equilíbrio e cenários</w:t>
      </w:r>
    </w:p>
    <w:p>
      <w:pPr>
        <w:pStyle w:val="FirstParagraph"/>
      </w:pPr>
      <w:r>
        <w:t xml:space="preserve">Com margem de contribuição média ponderada do mix-alvo de</w:t>
      </w:r>
      <w:r>
        <w:t xml:space="preserve"> </w:t>
      </w:r>
      <w:r>
        <w:rPr>
          <w:bCs/>
          <w:b/>
        </w:rPr>
        <w:t xml:space="preserve">≈35%</w:t>
      </w:r>
      <w:r>
        <w:t xml:space="preserve"> </w:t>
      </w:r>
      <w:r>
        <w:t xml:space="preserve">sobre a receita: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Ponto de equilíbrio operacional</w:t>
      </w:r>
      <w:r>
        <w:t xml:space="preserve">: R$ 52.000 ÷ 35% ≈</w:t>
      </w:r>
      <w:r>
        <w:t xml:space="preserve"> </w:t>
      </w:r>
      <w:r>
        <w:rPr>
          <w:bCs/>
          <w:b/>
        </w:rPr>
        <w:t xml:space="preserve">R$ 149 mil/mês de receita</w:t>
      </w:r>
      <w:r>
        <w:t xml:space="preserve"> </w:t>
      </w:r>
      <w:r>
        <w:t xml:space="preserve">(≈R$ 1,78 milhão/ano) — o equivalente a ~45 mil blocos-eq/mês,</w:t>
      </w:r>
      <w:r>
        <w:t xml:space="preserve"> </w:t>
      </w:r>
      <w:r>
        <w:rPr>
          <w:bCs/>
          <w:b/>
        </w:rPr>
        <w:t xml:space="preserve">cerca de 25% da capacidade de 1 turno</w:t>
      </w:r>
      <w:r>
        <w:t xml:space="preserve"> </w:t>
      </w:r>
      <w:r>
        <w:t xml:space="preserve">(24,6% da receita plena derivada de R$ 7,24 milhões — Apêndice A).</w:t>
      </w:r>
    </w:p>
    <w:p>
      <w:pPr>
        <w:numPr>
          <w:ilvl w:val="0"/>
          <w:numId w:val="1017"/>
        </w:numPr>
        <w:pStyle w:val="Compact"/>
      </w:pPr>
      <w:r>
        <w:t xml:space="preserve">Incluindo o serviço estimado da dívida FNE (SAC sobre ~R$ 4,5–5,5 milhões financiados, parcela média inicial de R$ 55–65 mil/mês pós-carência), o equilíbrio financeiro sobe para</w:t>
      </w:r>
      <w:r>
        <w:t xml:space="preserve"> </w:t>
      </w:r>
      <w:r>
        <w:rPr>
          <w:bCs/>
          <w:b/>
        </w:rPr>
        <w:t xml:space="preserve">~R$ 310–330 mil/mês — cerca de 53 a 57% da capacidade de 1 turno</w:t>
      </w:r>
      <w:r>
        <w:t xml:space="preserve">. É por isso que a carência típica do FNE (que cobre o ano 1 de ramp-up) e o cronograma de utilização crescente importam: no regime do ano 3 (75–80% de utilização, receita de ~R$ 480–520 mil/mês), a operação cobre fixos e parcela com folga de ~35–40%. A distância entre o equilíbrio e o teto físico é o colchão de segurança do projeto — e ela é confortável justamente porque o equilíbrio cabe dentro de 1 turno.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Cenário 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Utilização (1 turno)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 contrib. (35%)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 aprox.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Pessimista (ano 1 fraco)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0,89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≈0,26 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ano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2,9–3,3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1,0–1,1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≈0,4–0,5 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ano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≈0,9 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ano 3 (regime)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75–80%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5,4–5,8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1,9–2,0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≈1,3–1,4 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Potencial 1 turno pleno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≈1,8 mi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Todas as linhas aplicam o percentual de utilização sobre a mesma base — receita plena de 1 turno de R$ 7,24 milhões derivada do mix (§5.4 e Apêndice A) — com margem de contribuição de 35% e custos fixos constantes de R$ 52 mil/mês (crescimentos reais de fixos tendem a ser diluídos pela inflação repassada aos preços).</w:t>
      </w:r>
    </w:p>
    <w:p>
      <w:pPr>
        <w:pStyle w:val="BodyText"/>
      </w:pPr>
      <w:r>
        <w:t xml:space="preserve">Com EBITDA de regime de R$ 1,3–1,4 milhão/ano, o projeto de ~R$ 7 milhões apresenta</w:t>
      </w:r>
      <w:r>
        <w:t xml:space="preserve"> </w:t>
      </w:r>
      <w:r>
        <w:rPr>
          <w:bCs/>
          <w:b/>
        </w:rPr>
        <w:t xml:space="preserve">payback bruto de 5 a 6 anos</w:t>
      </w:r>
      <w:r>
        <w:t xml:space="preserve"> </w:t>
      </w:r>
      <w:r>
        <w:t xml:space="preserve">(4 a 5 anos considerando o subsídio implícito do FNE e a alavancagem fiscal do Simples/da depreciação) — perfil típico e saudável de indústria de materiais básicos, compatível com os prazos longos (8–12 anos) e carência do crédito FNE industrial [124].</w:t>
      </w:r>
    </w:p>
    <w:p>
      <w:pPr>
        <w:pStyle w:val="BodyText"/>
      </w:pPr>
      <w:r>
        <w:rPr>
          <w:bCs/>
          <w:b/>
        </w:rPr>
        <w:t xml:space="preserve">Capital de giro</w:t>
      </w:r>
      <w:r>
        <w:t xml:space="preserve">: o ciclo financeiro estimado é de 45–60 dias (estoque de insumos ~15 dias + estoque de produto ~30 dias + prazo médio de recebimento 21–28 dias – prazo de fornecedores ~14 dias). Em regime, isso imobiliza R$ 550–750 mil — daí a reserva de R$ 700–900 mil no funding, o item cuja falta mata a maioria das indústrias novas do setor [126][127].</w:t>
      </w:r>
    </w:p>
    <w:bookmarkEnd w:id="84"/>
    <w:bookmarkStart w:id="85" w:name="X4d772c0376cf09e9338e5255a94a19511aa287b"/>
    <w:p>
      <w:pPr>
        <w:pStyle w:val="Heading2"/>
      </w:pPr>
      <w:r>
        <w:t xml:space="preserve">13.5 Sensibilidades que o investidor deve monitorar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±10% no preço médio de venda</w:t>
      </w:r>
      <w:r>
        <w:t xml:space="preserve"> </w:t>
      </w:r>
      <w:r>
        <w:t xml:space="preserve">move o EBITDA de regime em ≈±R$ 580 mil/ano — a variável mais poderosa; disciplina de tabela e mix valem mais que qualquer economia de custo.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±10% no cimento</w:t>
      </w:r>
      <w:r>
        <w:t xml:space="preserve"> </w:t>
      </w:r>
      <w:r>
        <w:t xml:space="preserve">move o custo anual em ≈±R$ 90–120 mil — repassável com defasagem; manter cláusulas de reajuste.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±10 p.p. de utilização</w:t>
      </w:r>
      <w:r>
        <w:t xml:space="preserve"> </w:t>
      </w:r>
      <w:r>
        <w:t xml:space="preserve">movem o EBITDA em ≈±R$ 250–300 mil/ano — a agenda comercial (cap. 12) é o gerador de valor nº 1 do negócio.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X0efee1bd1288320288ac5618128c3c4b33aa500"/>
    <w:p>
      <w:pPr>
        <w:pStyle w:val="Heading1"/>
      </w:pPr>
      <w:r>
        <w:t xml:space="preserve">14. GUIA DE GESTÃO PARA O INVESTIDOR (COMO NÃO ERRAR NO RAMO)</w:t>
      </w:r>
    </w:p>
    <w:p>
      <w:pPr>
        <w:pStyle w:val="FirstParagraph"/>
      </w:pPr>
      <w:r>
        <w:t xml:space="preserve">Este capítulo condensa, em formato operacional, o que a experiência do setor ensina. A estatística é dura — 27,3% das indústrias de transformação brasileiras fecham em até 5 anos [126][127] — mas as causas são conhecidas e evitáveis: vender mal (não falta de produção), capital de giro curto, custo sem controle e qualidade irregular. O antídoto é gestão por números.</w:t>
      </w:r>
    </w:p>
    <w:bookmarkStart w:id="87" w:name="X52fab66a7d5aef6c9802eadf5449d4720ecf730"/>
    <w:p>
      <w:pPr>
        <w:pStyle w:val="Heading2"/>
      </w:pPr>
      <w:r>
        <w:t xml:space="preserve">14.1 Os 12 indicadores que devem estar na parede da fábrica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de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Produção (peças/turno, por produto)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≥90% do padrão Gervasi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Refugo/quebra (% peças)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 de cimento por peça (kg)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≤1,05 (vedação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Diária (balança)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variável industrial por peça (R</w:t>
            </w:r>
            <m:oMath>
              <m:r>
                <m:rPr>
                  <m:sty m:val="p"/>
                </m:rPr>
                <m:t>)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m</m:t>
                  </m:r>
                  <m:r>
                    <m:t>e</m:t>
                  </m:r>
                  <m:r>
                    <m:t>t</m:t>
                  </m:r>
                  <m:r>
                    <m:t>a</m:t>
                  </m:r>
                  <m:r>
                    <m:rPr>
                      <m:sty m:val="p"/>
                    </m:rPr>
                    <m:t>≤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90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c</m:t>
                      </m:r>
                      <m:r>
                        <m:t>u</m:t>
                      </m:r>
                      <m:r>
                        <m:t>l</m:t>
                      </m:r>
                      <m:r>
                        <m:t>a</m:t>
                      </m:r>
                      <m:r>
                        <m:t>d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85</m:t>
                      </m:r>
                      <m:r>
                        <m:rPr>
                          <m:sty m:val="p"/>
                        </m:rPr>
                        <m:t>—</m:t>
                      </m:r>
                      <m:r>
                        <m:t>v</m:t>
                      </m:r>
                      <m:r>
                        <m:t>e</m:t>
                      </m:r>
                      <m:r>
                        <m:t>d</m:t>
                      </m:r>
                      <m:r>
                        <m:t>a</m:t>
                      </m:r>
                      <m:r>
                        <m:t>ç</m:t>
                      </m:r>
                      <m:r>
                        <m:t>ã</m:t>
                      </m:r>
                      <m:r>
                        <m:t>o</m:t>
                      </m:r>
                      <m:r>
                        <m:t>14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t>a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.</m:t>
                      </m:r>
                      <m:r>
                        <m:t>13.2</m:t>
                      </m:r>
                    </m:e>
                  </m:d>
                </m:e>
              </m:d>
              <m:r>
                <m:t>S</m:t>
              </m:r>
              <m:r>
                <m:t>e</m:t>
              </m:r>
              <m:r>
                <m:t>m</m:t>
              </m:r>
              <m:r>
                <m:t>a</m:t>
              </m:r>
              <m:r>
                <m:t>n</m:t>
              </m:r>
              <m:r>
                <m:t>a</m:t>
              </m:r>
              <m:r>
                <m:t>l</m:t>
              </m:r>
              <m:d>
                <m:dPr>
                  <m:begChr m:val="|"/>
                  <m:endChr m:val="|"/>
                  <m:sepChr m:val=""/>
                  <m:grow/>
                </m:dPr>
                <m:e/>
              </m:d>
              <m:r>
                <m:t>5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t>i</m:t>
              </m:r>
              <m:r>
                <m:t>s</m:t>
              </m:r>
              <m:r>
                <m:t>p</m:t>
              </m:r>
              <m:r>
                <m:t>o</m:t>
              </m:r>
              <m:r>
                <m:t>n</m:t>
              </m:r>
              <m:r>
                <m:t>i</m:t>
              </m:r>
              <m:r>
                <m:t>b</m:t>
              </m:r>
              <m:r>
                <m:t>i</m:t>
              </m:r>
              <m:r>
                <m:t>l</m:t>
              </m:r>
              <m:r>
                <m:t>i</m:t>
              </m:r>
              <m:r>
                <m:t>d</m:t>
              </m:r>
              <m:r>
                <m:t>a</m:t>
              </m:r>
              <m:r>
                <m:t>d</m:t>
              </m:r>
              <m:r>
                <m:t>e</m:t>
              </m:r>
              <m:r>
                <m:t>d</m:t>
              </m:r>
              <m:r>
                <m:t>a</m:t>
              </m:r>
              <m:r>
                <m:t>l</m:t>
              </m:r>
              <m:r>
                <m:t>i</m:t>
              </m:r>
              <m:r>
                <m:t>n</m:t>
              </m:r>
              <m:r>
                <m:t>h</m:t>
              </m:r>
              <m:r>
                <m:t>a</m:t>
              </m:r>
              <m:r>
                <m:rPr>
                  <m:sty m:val="p"/>
                </m:rPr>
                <m:t>(</m:t>
              </m:r>
            </m:oMath>
            <w:r>
              <w:t xml:space="preserve"> </w:t>
            </w:r>
            <w:r>
              <w:t xml:space="preserve">e peças, por canal)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orçamento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médio realizado vs. 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Margem de contribuição média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 de estoque de produto acabado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Inadimplência (&gt;15 dias, % carteira)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Resistência à compressão (ensaios, MPa)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dentro da 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 (lab.)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Caixa mínimo (dias de custo fixo+folha)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≥45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</w:tr>
    </w:tbl>
    <w:p>
      <w:pPr>
        <w:pStyle w:val="BodyText"/>
      </w:pPr>
      <w:r>
        <w:t xml:space="preserve">Regra prática:</w:t>
      </w:r>
      <w:r>
        <w:t xml:space="preserve"> </w:t>
      </w:r>
      <w:r>
        <w:rPr>
          <w:bCs/>
          <w:b/>
        </w:rPr>
        <w:t xml:space="preserve">prancheta diária</w:t>
      </w:r>
      <w:r>
        <w:t xml:space="preserve"> </w:t>
      </w:r>
      <w:r>
        <w:t xml:space="preserve">(produção, refugo, cimento),</w:t>
      </w:r>
      <w:r>
        <w:t xml:space="preserve"> </w:t>
      </w:r>
      <w:r>
        <w:rPr>
          <w:bCs/>
          <w:b/>
        </w:rPr>
        <w:t xml:space="preserve">reunião semanal de 1 hora</w:t>
      </w:r>
      <w:r>
        <w:t xml:space="preserve"> </w:t>
      </w:r>
      <w:r>
        <w:t xml:space="preserve">(vendas, estoque, caixa, inadimplência) e</w:t>
      </w:r>
      <w:r>
        <w:t xml:space="preserve"> </w:t>
      </w:r>
      <w:r>
        <w:rPr>
          <w:bCs/>
          <w:b/>
        </w:rPr>
        <w:t xml:space="preserve">fechamento mensal</w:t>
      </w:r>
      <w:r>
        <w:t xml:space="preserve"> </w:t>
      </w:r>
      <w:r>
        <w:t xml:space="preserve">com o contador (DRE gerencial simplificada por produto). O supervisório da XP350 registra automaticamente boa parte dos dados de processo — usar os relatórios da máquina, não anotações soltas.</w:t>
      </w:r>
    </w:p>
    <w:bookmarkEnd w:id="87"/>
    <w:bookmarkStart w:id="88" w:name="Xb0328725d60b1d0de21f397f77c335962f9d9b0"/>
    <w:p>
      <w:pPr>
        <w:pStyle w:val="Heading2"/>
      </w:pPr>
      <w:r>
        <w:t xml:space="preserve">14.2 Plano de ação da implantação (o relógio corre a favor de quem começa cedo)</w:t>
      </w:r>
    </w:p>
    <w:p>
      <w:pPr>
        <w:pStyle w:val="FirstParagraph"/>
      </w:pPr>
      <w:r>
        <w:rPr>
          <w:bCs/>
          <w:b/>
        </w:rPr>
        <w:t xml:space="preserve">Fase 1 — Imediata (meses 0–2, enquanto a fábrica é construída em Içara):</w:t>
      </w:r>
      <w:r>
        <w:t xml:space="preserve"> </w:t>
      </w:r>
      <w:r>
        <w:t xml:space="preserve">1. Protocolar licenciamento ambiental (IEMA/Secretaria municipal — definir enquadramento) [49][50];</w:t>
      </w:r>
      <w:r>
        <w:t xml:space="preserve"> </w:t>
      </w:r>
      <w:r>
        <w:t xml:space="preserve">2. Protocolar pedido de ligação MT na EDP (subestação simplificada) [13] — maior lead time depois do galpão;</w:t>
      </w:r>
      <w:r>
        <w:t xml:space="preserve"> </w:t>
      </w:r>
      <w:r>
        <w:t xml:space="preserve">3. Contratar projeto e execução do galpão/pátio com multa de prazo (referência R$ 1.250–1.900/m² [128][129]);</w:t>
      </w:r>
      <w:r>
        <w:t xml:space="preserve"> </w:t>
      </w:r>
      <w:r>
        <w:t xml:space="preserve">4. Cotar e encomendar bandejas (item de 3–4 meses de prazo em madeira tratada/aço);</w:t>
      </w:r>
      <w:r>
        <w:t xml:space="preserve"> </w:t>
      </w:r>
      <w:r>
        <w:t xml:space="preserve">5. Abrir conversas FNE/BNB com o projeto de crédito (este estudo anexo).</w:t>
      </w:r>
    </w:p>
    <w:p>
      <w:pPr>
        <w:pStyle w:val="BodyText"/>
      </w:pPr>
      <w:r>
        <w:rPr>
          <w:bCs/>
          <w:b/>
        </w:rPr>
        <w:t xml:space="preserve">Fase 2 — Pré-operação (meses 3–5):</w:t>
      </w:r>
      <w:r>
        <w:t xml:space="preserve"> </w:t>
      </w:r>
      <w:r>
        <w:t xml:space="preserve">6. Homologar fornecedores: 2 cimenteiras [91][92], pedreira titular + backup [9][97][96], areal, aditivo [98][99];</w:t>
      </w:r>
      <w:r>
        <w:t xml:space="preserve"> </w:t>
      </w:r>
      <w:r>
        <w:t xml:space="preserve">7. Cadastro de fornecedor nas prefeituras do 1º anel + PNCP; mapear calendário de licitações e atas vigentes [68][69];</w:t>
      </w:r>
      <w:r>
        <w:t xml:space="preserve"> </w:t>
      </w:r>
      <w:r>
        <w:t xml:space="preserve">8. Fechar 6–8 revendas com pedido-programa condicionado ao start-up [117][118][119][121][122];</w:t>
      </w:r>
      <w:r>
        <w:t xml:space="preserve"> </w:t>
      </w:r>
      <w:r>
        <w:t xml:space="preserve">9. Recrutar equipe (1 líder de produção experiente em vibroprensa — vale pagar acima do piso [55] —, 4–5 operadores, 1 comercial/administrativo) e agendar treinamento Gervasi;</w:t>
      </w:r>
      <w:r>
        <w:t xml:space="preserve"> </w:t>
      </w:r>
      <w:r>
        <w:t xml:space="preserve">10. Comprar pá carregadeira e empilhadeira (seminovas inspecionadas) [103].</w:t>
      </w:r>
    </w:p>
    <w:p>
      <w:pPr>
        <w:pStyle w:val="BodyText"/>
      </w:pPr>
      <w:r>
        <w:rPr>
          <w:bCs/>
          <w:b/>
        </w:rPr>
        <w:t xml:space="preserve">Fase 3 — Start-up e rampa (meses 6–12):</w:t>
      </w:r>
      <w:r>
        <w:t xml:space="preserve"> </w:t>
      </w:r>
      <w:r>
        <w:t xml:space="preserve">11. Montagem (≈10 dias) + startup assistido + formulação de receitas com o técnico Gervasi;</w:t>
      </w:r>
      <w:r>
        <w:t xml:space="preserve"> </w:t>
      </w:r>
      <w:r>
        <w:t xml:space="preserve">12. Produzir e ensaiar os primeiros lotes ANTES de vender estrutural (laudo NBR em mãos [51][52]);</w:t>
      </w:r>
      <w:r>
        <w:t xml:space="preserve"> </w:t>
      </w:r>
      <w:r>
        <w:t xml:space="preserve">13. Lançamento comercial (inauguração, imprensa regional, visita de engenheiros das prefeituras);</w:t>
      </w:r>
      <w:r>
        <w:t xml:space="preserve"> </w:t>
      </w:r>
      <w:r>
        <w:t xml:space="preserve">14. Entrar nas primeiras licitações com preço disciplinado (margem de contribuição ≥25%);</w:t>
      </w:r>
      <w:r>
        <w:t xml:space="preserve"> </w:t>
      </w:r>
      <w:r>
        <w:t xml:space="preserve">15. Revisar este estudo com dados reais após 6 meses de operação (orçado × realizado).</w:t>
      </w:r>
    </w:p>
    <w:bookmarkEnd w:id="88"/>
    <w:bookmarkStart w:id="89" w:name="X5a50a08bb7a1df214569433d0a00e78c39311b3"/>
    <w:p>
      <w:pPr>
        <w:pStyle w:val="Heading2"/>
      </w:pPr>
      <w:r>
        <w:t xml:space="preserve">14.3 Erros clássicos do ramo — e a vacina de cada um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Vender barato para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ganhar mercado</w:t>
      </w:r>
      <w:r>
        <w:rPr>
          <w:bCs/>
          <w:b/>
        </w:rPr>
        <w:t xml:space="preserve">”</w:t>
      </w:r>
      <w:r>
        <w:t xml:space="preserve"> </w:t>
      </w:r>
      <w:r>
        <w:t xml:space="preserve">→ o mercado aprende o preço baixo e não esquece; a vacina é tabela por canal e desconto só contra volume/contrato.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Rodar a máquina para fazer estoque sem venda</w:t>
      </w:r>
      <w:r>
        <w:t xml:space="preserve"> </w:t>
      </w:r>
      <w:r>
        <w:t xml:space="preserve">→ pátio cheio é dinheiro parado ao tempo; produção puxada pelo funil comercial (cap. 8.5).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Descontrolar o traço</w:t>
      </w:r>
      <w:r>
        <w:t xml:space="preserve"> </w:t>
      </w:r>
      <w:r>
        <w:t xml:space="preserve">(</w:t>
      </w:r>
      <w:r>
        <w:t xml:space="preserve">“</w:t>
      </w:r>
      <w:r>
        <w:t xml:space="preserve">colocar mais cimento para garantir</w:t>
      </w:r>
      <w:r>
        <w:t xml:space="preserve">”</w:t>
      </w:r>
      <w:r>
        <w:t xml:space="preserve">) → o custo por peça explode em silêncio; a vacina é a balança de cimento + indicador nº 3.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Atrasar entrega de licitação</w:t>
      </w:r>
      <w:r>
        <w:t xml:space="preserve"> </w:t>
      </w:r>
      <w:r>
        <w:t xml:space="preserve">→ multa + inidoneidade; nunca assumir ata acima de 60% da capacidade líquida do mês.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Misturar caixa da empresa com a pessoa física</w:t>
      </w:r>
      <w:r>
        <w:t xml:space="preserve"> </w:t>
      </w:r>
      <w:r>
        <w:t xml:space="preserve">→ contas separadas, pró-labore fixo, sobras só via distribuição planejada com o contador.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Negligenciar a cura</w:t>
      </w:r>
      <w:r>
        <w:t xml:space="preserve"> </w:t>
      </w:r>
      <w:r>
        <w:t xml:space="preserve">→ bloco que esfarela no cliente destrói a marca regional em semanas; disciplina de irrigação/cobertura e 7 dias mínimos antes de expedir.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Ignorar a manutenção preventiva</w:t>
      </w:r>
      <w:r>
        <w:t xml:space="preserve"> </w:t>
      </w:r>
      <w:r>
        <w:t xml:space="preserve">→ a linha única (risco nº 5 da matriz) exige plano semanal de lubrificação e inspeção — está no manual Gervasi; cumpre-se com checklist assinado.</w:t>
      </w:r>
    </w:p>
    <w:bookmarkEnd w:id="89"/>
    <w:bookmarkStart w:id="90" w:name="glossário-do-ramo-para-o-investidor"/>
    <w:p>
      <w:pPr>
        <w:pStyle w:val="Heading2"/>
      </w:pPr>
      <w:r>
        <w:t xml:space="preserve">14.4 Glossário do ramo para o investidor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Vibroprensa</w:t>
      </w:r>
      <w:r>
        <w:t xml:space="preserve">: máquina que molda peças de concreto</w:t>
      </w:r>
      <w:r>
        <w:t xml:space="preserve"> </w:t>
      </w:r>
      <w:r>
        <w:t xml:space="preserve">“</w:t>
      </w:r>
      <w:r>
        <w:t xml:space="preserve">seco</w:t>
      </w:r>
      <w:r>
        <w:t xml:space="preserve">”</w:t>
      </w:r>
      <w:r>
        <w:t xml:space="preserve"> </w:t>
      </w:r>
      <w:r>
        <w:t xml:space="preserve">por vibração + prensagem simultâneas.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Traço</w:t>
      </w:r>
      <w:r>
        <w:t xml:space="preserve">: receita do concreto (proporção cimento : agregados : água : aditivo). Segredo industrial da fábrica.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Concreto seco/farofa</w:t>
      </w:r>
      <w:r>
        <w:t xml:space="preserve">: concreto de umidade baixíssima (6–8%) que permite desformar a peça imediatamente.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fbk (MPa)</w:t>
      </w:r>
      <w:r>
        <w:t xml:space="preserve">: resistência característica à compressão do bloco estrutural; classes da NBR 6136 (A ≥8; B 4–8; C ≥3 MPa).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Bloco de vedação × estrutural</w:t>
      </w:r>
      <w:r>
        <w:t xml:space="preserve">: o primeiro só fecha parede; o segundo sustenta a edificação (exige ensaio e laudo).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Canaleta/verga</w:t>
      </w:r>
      <w:r>
        <w:t xml:space="preserve">: bloco em</w:t>
      </w:r>
      <w:r>
        <w:t xml:space="preserve"> </w:t>
      </w:r>
      <w:r>
        <w:t xml:space="preserve">“</w:t>
      </w:r>
      <w:r>
        <w:t xml:space="preserve">U</w:t>
      </w:r>
      <w:r>
        <w:t xml:space="preserve">”</w:t>
      </w:r>
      <w:r>
        <w:t xml:space="preserve"> </w:t>
      </w:r>
      <w:r>
        <w:t xml:space="preserve">que recebe ferragem e graute nas cintas e vergas da alvenaria estrutural.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Paver</w:t>
      </w:r>
      <w:r>
        <w:t xml:space="preserve">: peça de pavimento intertravado (NBR 9781; 35 MPa tráfego leve, 50 MPa pesado).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Sextavado</w:t>
      </w:r>
      <w:r>
        <w:t xml:space="preserve">: bloco de pavimentação hexagonal, padrão histórico de calçamento nas cidades do interior (é o item das licitações de São Mateus).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Piso grama/concregrama</w:t>
      </w:r>
      <w:r>
        <w:t xml:space="preserve">: placa vazada que combina pavimento e gramado (estacionamentos, pátios permeáveis).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Bandeja</w:t>
      </w:r>
      <w:r>
        <w:t xml:space="preserve">: prancha (madeira/aço) sobre a qual as peças nascem e curam; circula em ciclo fechado pela fábrica.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Cura</w:t>
      </w:r>
      <w:r>
        <w:t xml:space="preserve">: período de hidratação do cimento que dá resistência à peça (crítico: 24–48 h protegida + 7–28 dias de maturação).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Dupla camada</w:t>
      </w:r>
      <w:r>
        <w:t xml:space="preserve">: paver com capa superior fina de traço rico/pigmentado (cor e acabamento premium).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Selo ABCP/PSQ</w:t>
      </w:r>
      <w:r>
        <w:t xml:space="preserve">: certificação setorial de qualidade de blocos/pavers; poucas fábricas têm — vale ouro em licitação [53].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Ata de registro de preços</w:t>
      </w:r>
      <w:r>
        <w:t xml:space="preserve">: licitação que fixa preço por 12 meses; o órgão compra conforme a necessidade — receita recorrente de quem vence.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Empenho</w:t>
      </w:r>
      <w:r>
        <w:t xml:space="preserve">: reserva orçamentária que garante o pagamento público; só produzir contra empenho emitido.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FNE</w:t>
      </w:r>
      <w:r>
        <w:t xml:space="preserve">: Fundo Constitucional de Financiamento do Nordeste, operado pelo BNB — crédito de investimento com juros subsidiados e prazos longos para a área da Sudene, que inclui o norte do ES [123][124][130].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X4abcdf0390f8d2eace873147f0e36965b936881"/>
    <w:p>
      <w:pPr>
        <w:pStyle w:val="Heading1"/>
      </w:pPr>
      <w:r>
        <w:t xml:space="preserve">15. CONCLUSÃO E PARECER DE VIABILIDADE MERCADOLÓGICA</w:t>
      </w:r>
    </w:p>
    <w:bookmarkStart w:id="92" w:name="síntese-dos-achados"/>
    <w:p>
      <w:pPr>
        <w:pStyle w:val="Heading2"/>
      </w:pPr>
      <w:r>
        <w:t xml:space="preserve">15.1 Síntese dos achados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Produto e tecnologia</w:t>
      </w:r>
      <w:r>
        <w:t xml:space="preserve">: a linha Gervasi XP350 dá à GTK capacidade industrial (até 7.020 blocos de 14/turno, ~530 m² de paver/turno, troca de molde em 15–20 min, preparada para 2 turnos) com portfólio amplo — blocos de vedação e estruturais, canaletas, pavers, sextavado, piso grama e mini-guias — e custo variável estruturalmente competitivo (economia de até 15% de cimento pela vibrocompactação de alto rendimento).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Mercado</w:t>
      </w:r>
      <w:r>
        <w:t xml:space="preserve">: a área de influência ponderada soma ~152,9 mil habitantes-equivalentes (9 municípios), com demanda estimada de 4 a 6 milhões de blocos-equivalentes + 70 a 150 mil m² de pavimentação por ano (SAM de R$ 16–25 milhões/ano), sustentada por três motores simultâneos: pipeline público de pavimentação em blocos (padrão adotado pelas prefeituras da região, com registro de preços ativo em São Mateus), ciclo econômico regional (petróleo, café, Marcopolo, Guriri) e habitação (MCMV + déficit local).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Concorrência</w:t>
      </w:r>
      <w:r>
        <w:t xml:space="preserve">: a oferta local é artesanal e pulverizada (nenhum fabricante certificado no raio de ~150 km); os players industriais estão a 200+ km com frete proibitivo para o dia a dia. A GTK nascerá como única planta automática do interior norte-capixaba — posição defensável por capital, certificação e contratos.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Suprimentos</w:t>
      </w:r>
      <w:r>
        <w:t xml:space="preserve">: cadeia mapeada e viável — pedreira a ~40 km, cimento a granel de 2 fornecedores estaduais com silo de 90 t de autonomia, aditivos e pallets com oferta competitiva, energia enquadrável em MT rural.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Economia do negócio</w:t>
      </w:r>
      <w:r>
        <w:t xml:space="preserve">: ponto de equilíbrio operacional em ~25% da capacidade de 1 turno; EBITDA de regime estimado em R$ 1,3–1,4 milhão/ano; investimento total de ~R$ 6,6–8,2 milhões compatível com o capital subscrito de R$ 7,5 milhões e com funding FNE (a área legal da Sudene abrange 31 municípios do norte do ES — LC nº 185/2021 —, incluindo todos os nove da área de influência; indústria é setor prioritário no FNE 2026 de R$ 52,6 bilhões, com R$ 1,3 bilhão para o ES).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Riscos</w:t>
      </w:r>
      <w:r>
        <w:t xml:space="preserve">: reais e mapeados (17 riscos na matriz) — os críticos são de execução (ramp-up comercial, CAPEX complementar, prazo de implantação), não de mercado; todos com mitigadores definidos.</w:t>
      </w:r>
    </w:p>
    <w:bookmarkEnd w:id="92"/>
    <w:bookmarkStart w:id="93" w:name="parecer"/>
    <w:p>
      <w:pPr>
        <w:pStyle w:val="Heading2"/>
      </w:pPr>
      <w:r>
        <w:t xml:space="preserve">15.2 Parecer</w:t>
      </w:r>
    </w:p>
    <w:p>
      <w:pPr>
        <w:pStyle w:val="FirstParagraph"/>
      </w:pPr>
      <w:r>
        <w:rPr>
          <w:bCs/>
          <w:b/>
        </w:rPr>
        <w:t xml:space="preserve">A viabilidade mercadológica do empreendimento é FAVORÁVEL.</w:t>
      </w:r>
      <w:r>
        <w:t xml:space="preserve"> </w:t>
      </w:r>
      <w:r>
        <w:t xml:space="preserve">A demanda regional absorve com folga o ramp-up projetado (shares de 12–27% do mercado endereçável nos anos 1–2) e comporta o regime de cruzeiro (~22–36%) na condição de execução da estratégia comercial — ancoragem em licitações e atas municipais, rede de 8–12 revendas, 2–3 contas B2B estruturantes e balcão de fábrica. O projeto deve ser dimensionado financeiramente para pagar-se com 1 turno, tratando o 2º turno como opção de crescimento, e condicionado às providências de implantação listadas no plano de ação (licença ambiental, energia, galpão, bandejas e pré-venda iniciados de imediato).</w:t>
      </w:r>
    </w:p>
    <w:p>
      <w:pPr>
        <w:pStyle w:val="BodyText"/>
      </w:pPr>
      <w:r>
        <w:t xml:space="preserve">Não existe empreendimento</w:t>
      </w:r>
      <w:r>
        <w:t xml:space="preserve"> </w:t>
      </w:r>
      <w:r>
        <w:t xml:space="preserve">“</w:t>
      </w:r>
      <w:r>
        <w:t xml:space="preserve">sem como dar errado</w:t>
      </w:r>
      <w:r>
        <w:t xml:space="preserve">”</w:t>
      </w:r>
      <w:r>
        <w:t xml:space="preserve"> </w:t>
      </w:r>
      <w:r>
        <w:t xml:space="preserve">— existe empreendimento com risco tratado. O conjunto aqui apresentado — vantagem locacional mensurável, vazio competitivo no segmento industrial, demanda pública recorrente já contratada na vizinhança imediata, economia unitária folgada e funding adequado — configura um caso de risco bem remunerado, à altura da análise de um banco de desenvolvimento.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referências"/>
    <w:p>
      <w:pPr>
        <w:pStyle w:val="Heading1"/>
      </w:pPr>
      <w:r>
        <w:t xml:space="preserve">16. REFERÊNCIAS</w:t>
      </w:r>
    </w:p>
    <w:p>
      <w:pPr>
        <w:pStyle w:val="FirstParagraph"/>
      </w:pPr>
      <w:r>
        <w:t xml:space="preserve">[1] Rota Mapas — Distância entre São Mateus e Nova Venécia. Disponível em: https://www.rotamapas.com.br/distancia-entre-sao-mateus-e-nova-venecia . Acesso em: 16/08/2026.</w:t>
      </w:r>
    </w:p>
    <w:p>
      <w:pPr>
        <w:pStyle w:val="BodyText"/>
      </w:pPr>
      <w:r>
        <w:t xml:space="preserve">[2] ceps.io — Rodovia BR-381 Miguel Curry Carneiro — São Mateus–Nova Venécia, km 20,001 ao km 37,000 — Nova Aimorés (Nova Verona), São Mateus-ES. Disponível em: https://ceps.io/ES/Sao-Mateus/Nova-Aimores-Nova-Verona/Rodovia-BR-381-Miguel-Curry-Carneiro-Sao-Mateus-Nova-Venecia-do-km-20-001-ao-km-37-000/29947010/ . Acesso em: 16/08/2026.</w:t>
      </w:r>
    </w:p>
    <w:p>
      <w:pPr>
        <w:pStyle w:val="BodyText"/>
      </w:pPr>
      <w:r>
        <w:t xml:space="preserve">[3] ceps.io — Rodovia BR-381 Miguel Curry Carneiro — km 37,001 ao fim — Nestor Gomes, São Mateus-ES. Disponível em: https://ceps.io/ES/Sao-Mateus/Nestor-Gomes/Rodovia-BR-381-Miguel-Curry-Carneiro-Sao-Mateus-Nova-Venecia-do-km-37-001-ao-fim/29949040/ . Acesso em: 16/08/2026.</w:t>
      </w:r>
    </w:p>
    <w:p>
      <w:pPr>
        <w:pStyle w:val="BodyText"/>
      </w:pPr>
      <w:r>
        <w:t xml:space="preserve">[4] IBGE Cidades — São Mateus (ES) — Panorama. Disponível em: https://cidades.ibge.gov.br/brasil/es/sao-mateus/panorama . Acesso em: 16/08/2026.</w:t>
      </w:r>
    </w:p>
    <w:p>
      <w:pPr>
        <w:pStyle w:val="BodyText"/>
      </w:pPr>
      <w:r>
        <w:t xml:space="preserve">[5] Portal Norte Capixaba — População de São Mateus é de 123.750 pessoas, aponta o Censo do IBGE. Disponível em: https://portalnortecapixaba.com.br/populacao-de-sao-mateus-e-de-123-750-pessoas-aponta-o-censo-do-ibge/ . Acesso em: 16/08/2026.</w:t>
      </w:r>
    </w:p>
    <w:p>
      <w:pPr>
        <w:pStyle w:val="BodyText"/>
      </w:pPr>
      <w:r>
        <w:t xml:space="preserve">[6] Wikipédia (dados IBGE Censo 2022) — Lista de municípios do Espírito Santo por população. Disponível em: https://pt.wikipedia.org/wiki/Lista_de_munic%C3%ADpios_do_Esp%C3%ADrito_Santo_por_popula%C3%A7%C3%A3o . Acesso em: 16/08/2026.</w:t>
      </w:r>
    </w:p>
    <w:p>
      <w:pPr>
        <w:pStyle w:val="BodyText"/>
      </w:pPr>
      <w:r>
        <w:t xml:space="preserve">[7] Rede Notícia ES — Censo do IBGE mostra que população de Nova Venécia é de 49.065 pessoas. Disponível em: https://redenoticia.es/censo-do-ibge-mostra-que-populacao-de-nova-venecia-e-de-49-065-pessoas/ . Acesso em: 16/08/2026.</w:t>
      </w:r>
    </w:p>
    <w:p>
      <w:pPr>
        <w:pStyle w:val="BodyText"/>
      </w:pPr>
      <w:r>
        <w:t xml:space="preserve">[8] DER-ES — DER-ES abre licitação para obras na área urbana da Rodovia ES-381, em São Mateus. Disponível em: https://der.es.gov.br/Not%C3%ADcia/der-es-abre-licitacao-para-obras-na-area-urbana-da-rodovia-es-381-em-sao-mateus . Acesso em: 16/08/2026.</w:t>
      </w:r>
    </w:p>
    <w:p>
      <w:pPr>
        <w:pStyle w:val="BodyText"/>
      </w:pPr>
      <w:r>
        <w:t xml:space="preserve">[9] CNPJ.biz — Mineração Usibrita Ltda — Jaguaré-ES (CNPJ 23.359.321/0001-82, extração e britamento). Disponível em: https://cnpj.biz/23359321000182 . Acesso em: 16/08/2026.</w:t>
      </w:r>
    </w:p>
    <w:p>
      <w:pPr>
        <w:pStyle w:val="BodyText"/>
      </w:pPr>
      <w:r>
        <w:t xml:space="preserve">[10] ABN Paletes — Fábrica de paletes de madeira — atendimento em Linhares e São Mateus-ES. Disponível em: https://www.abnpaletes.com.br/fabrica-de-paletes-de-madeira . Acesso em: 16/08/2026.</w:t>
      </w:r>
    </w:p>
    <w:p>
      <w:pPr>
        <w:pStyle w:val="BodyText"/>
      </w:pPr>
      <w:r>
        <w:t xml:space="preserve">[11] Caixa Econômica Federal — SINAPI — Preços de insumos e composições, referência Espírito Santo 06/2026 (sem desoneração). Disponível em: https://www.caixa.gov.br/site/paginas/downloads.aspx . Acesso em: 16/08/2026.</w:t>
      </w:r>
    </w:p>
    <w:p>
      <w:pPr>
        <w:pStyle w:val="BodyText"/>
      </w:pPr>
      <w:r>
        <w:t xml:space="preserve">[12] Pavibloco — Pavimento intertravado permeável: solução de pavimentação (NBR 16416). Disponível em: https://pavibloco.com.br/pavimento-intertravado-permeavel-solucao-de-pavimentacao-para-enchentes/ . Acesso em: 16/08/2026.</w:t>
      </w:r>
    </w:p>
    <w:p>
      <w:pPr>
        <w:pStyle w:val="BodyText"/>
      </w:pPr>
      <w:r>
        <w:t xml:space="preserve">[13] EDP Espírito Santo — Norma PT.DT.PDN.03.14.001 — Fornecimento em média tensão (subestação simplificada até 300 kVA). Disponível em: https://www.edp.com.br/media/vveny1hb/ptdtpdn0314001_v16.pdf . Acesso em: 16/08/2026.</w:t>
      </w:r>
    </w:p>
    <w:p>
      <w:pPr>
        <w:pStyle w:val="BodyText"/>
      </w:pPr>
      <w:r>
        <w:t xml:space="preserve">[14] ANEEL — EDP ES tem novas tarifas de energia aprovadas pela ANEEL (efeito médio +15,53%, vigência 2025/2026). Disponível em: https://www.gov.br/aneel/pt-br/assuntos/noticias/2025/edp-es-tem-novas-tarifas-de-energia-aprovadas-pela-aneel . Acesso em: 16/08/2026.</w:t>
      </w:r>
    </w:p>
    <w:p>
      <w:pPr>
        <w:pStyle w:val="BodyText"/>
      </w:pPr>
      <w:r>
        <w:t xml:space="preserve">[15] ANEEL — Resolução Homologatória nº 3.508/2025 — tarifas EDP Espírito Santo (Grupo A). Disponível em: https://www2.aneel.gov.br/cedoc/reh20253508ti.pdf . Acesso em: 16/08/2026.</w:t>
      </w:r>
    </w:p>
    <w:p>
      <w:pPr>
        <w:pStyle w:val="BodyText"/>
      </w:pPr>
      <w:r>
        <w:t xml:space="preserve">[16] Persi Materiais — Bloco de concreto 14x19x39 comum 11 kg — Pemacon (peso de referência). Disponível em: https://persimateriais.com.br/bloco-de-concreto-14x19x39-comum-11kg-pemacon/ . Acesso em: 16/08/2026.</w:t>
      </w:r>
    </w:p>
    <w:p>
      <w:pPr>
        <w:pStyle w:val="BodyText"/>
      </w:pPr>
      <w:r>
        <w:t xml:space="preserve">[17] WM Máquinas de Blocos — Quanto custa para produzir um bloco de concreto? Parte 1 (consumo ~1,05 kg cimento/bloco). Disponível em: https://wmmaquinasdeblocos.com.br/quanto-custa-para-produzir-um-bloco-de-concreto-parte-1/ . Acesso em: 16/08/2026.</w:t>
      </w:r>
    </w:p>
    <w:p>
      <w:pPr>
        <w:pStyle w:val="BodyText"/>
      </w:pPr>
      <w:r>
        <w:t xml:space="preserve">[18] Agência Brasil — Vendas de cimento crescem em 2024 e recuperam perdas de dois anos. Disponível em: https://agenciabrasil.ebc.com.br/economia/noticia/2025-01/vendas-de-cimento-crescem-em-2024-e-recuperam-perdas-de-dois-anos . Acesso em: 16/08/2026.</w:t>
      </w:r>
    </w:p>
    <w:p>
      <w:pPr>
        <w:pStyle w:val="BodyText"/>
      </w:pPr>
      <w:r>
        <w:t xml:space="preserve">[19] Brasil Mineral — Cimento: consumo aumenta 4,1% e soma 64,8 milhões de toneladas em 2024. Disponível em: https://www.brasilmineral.com.br/noticias/consumo-aumenta-41-e-soma-648-milhoes-de-toneladas-em-2024 . Acesso em: 16/08/2026.</w:t>
      </w:r>
    </w:p>
    <w:p>
      <w:pPr>
        <w:pStyle w:val="BodyText"/>
      </w:pPr>
      <w:r>
        <w:t xml:space="preserve">[20] ABCP — Vendas de cimento fecham 2025 com forte desempenho (67 milhões t, +3,7%). Disponível em: https://abcp.org.br/vendas-de-cimento-2025/ . Acesso em: 16/08/2026.</w:t>
      </w:r>
    </w:p>
    <w:p>
      <w:pPr>
        <w:pStyle w:val="BodyText"/>
      </w:pPr>
      <w:r>
        <w:t xml:space="preserve">[21] Concrete Show Digital — Produzindo e faturando alto com blocos de concreto (capacidade nacional BlocoBrasil ~100 milhões de blocos/mês). Disponível em: https://digital.concreteshow.com.br/artigos/produzindo-e-faturando-alto-com-blocos-de-concreto/ . Acesso em: 16/08/2026.</w:t>
      </w:r>
    </w:p>
    <w:p>
      <w:pPr>
        <w:pStyle w:val="BodyText"/>
      </w:pPr>
      <w:r>
        <w:t xml:space="preserve">[22] Brick Making Machine Brasil — Fábrica de blocos de concreto: custos 2026 Brasil (projeções de crescimento setorial e investimentos habitacionais). Disponível em: https://brickmakingmachine.com.br/maquina-de-fazer-blocos-de-concreto/quanto-custa-montar-uma-fabrica-de-blocos-de-concreto-no-brasil-em-2026/ . Acesso em: 16/08/2026.</w:t>
      </w:r>
    </w:p>
    <w:p>
      <w:pPr>
        <w:pStyle w:val="BodyText"/>
      </w:pPr>
      <w:r>
        <w:t xml:space="preserve">[23] Mordor Intelligence — Mercado de blocos de concreto ocos — tamanho, tendências e crescimento. Disponível em: https://www.mordorintelligence.com/pt/industry-reports/hollow-concrete-block-market . Acesso em: 16/08/2026.</w:t>
      </w:r>
    </w:p>
    <w:p>
      <w:pPr>
        <w:pStyle w:val="BodyText"/>
      </w:pPr>
      <w:r>
        <w:t xml:space="preserve">[24] Secom/Governo Federal — Espírito Santo contratou 18,06 mil residências do Minha Casa, Minha Vida entre 2023 e 2025 (R$ 2,62 bi). Disponível em: https://www.gov.br/secom/pt-br/assuntos/noticias-regionalizadas/mcmv-2-milhoes-de-contratacoes/espirito-santo-contratou-18-06-mil-residencias-do-minha-casa-minha-vida-entre-2023-e-2025 . Acesso em: 16/08/2026.</w:t>
      </w:r>
    </w:p>
    <w:p>
      <w:pPr>
        <w:pStyle w:val="BodyText"/>
      </w:pPr>
      <w:r>
        <w:t xml:space="preserve">[25] Secom/Governo Federal — Minha Casa, Minha Vida entrega 12,1 mil residências no Espírito Santo desde 2023 (3,8 mil concluídas em 2025). Disponível em: https://www.gov.br/secom/pt-br/assuntos/noticias-regionalizadas/mcmv-2023-a-jan.2026/minha-casa-minha-vida-entrega-12-1-mil-residencias-no-espirito-santo-desde-2023 . Acesso em: 16/08/2026.</w:t>
      </w:r>
    </w:p>
    <w:p>
      <w:pPr>
        <w:pStyle w:val="BodyText"/>
      </w:pPr>
      <w:r>
        <w:t xml:space="preserve">[26] Tetracon — Preço do piso intertravado 2025: instalação de paver por m². Disponível em: https://tetraconind.com.br/pisos-intertravados/preco-do-piso-intertravado-2025-instalacao-de-paver-por-metro-quadrado/ . Acesso em: 16/08/2026.</w:t>
      </w:r>
    </w:p>
    <w:p>
      <w:pPr>
        <w:pStyle w:val="BodyText"/>
      </w:pPr>
      <w:r>
        <w:t xml:space="preserve">[27] Optimas Brasil — Piso intertravado: tendências e inovações. Disponível em: https://optimas.com.br/piso-intertravado-tendencias-e-inovacoes-em-2024/ . Acesso em: 16/08/2026.</w:t>
      </w:r>
    </w:p>
    <w:p>
      <w:pPr>
        <w:pStyle w:val="BodyText"/>
      </w:pPr>
      <w:r>
        <w:t xml:space="preserve">[28] Jornal Norte Capixaba — Obras inauguradas pelo Estado e Prefeitura somam mais de R$ 23 milhões em Jaguaré (13 ruas em blocos de concreto — R$ 4,3 mi via Fundo Cidades). Disponível em: https://jornalnortecapixaba.com.br/obras-inauguradas-pelo-estado-e-prefeitura-somam-mais-r-23-milhoes-de-investimentos-em-jaguare/ . Acesso em: 16/08/2026.</w:t>
      </w:r>
    </w:p>
    <w:p>
      <w:pPr>
        <w:pStyle w:val="BodyText"/>
      </w:pPr>
      <w:r>
        <w:t xml:space="preserve">[29] Blog Elimar Côrtes — Espírito Santo vai ganhar investimentos de mais de R$ 120 bilhões até 2029, anuncia governo. Disponível em: https://elimarcortes.com.br/2025/07/04/espirito-santo-vai-ganhar-investimentos-de-mais-de-120-bilhoes-ate-2029-anuncia-governo/ . Acesso em: 16/08/2026.</w:t>
      </w:r>
    </w:p>
    <w:p>
      <w:pPr>
        <w:pStyle w:val="BodyText"/>
      </w:pPr>
      <w:r>
        <w:t xml:space="preserve">[30] A Gazeta — Petróleo e gás: ES deve receber investimentos de R$ 44,2 bi em sete projetos (Linhares, Jaguaré, São Mateus e Conceição da Barra). Disponível em: https://www.agazeta.com.br/es/economia/petroleo-e-gas-es-deve-receber-investimentos-de-r-442-bi-em-sete-projetos-0425 . Acesso em: 16/08/2026.</w:t>
      </w:r>
    </w:p>
    <w:p>
      <w:pPr>
        <w:pStyle w:val="BodyText"/>
      </w:pPr>
      <w:r>
        <w:t xml:space="preserve">[31] ES Fala — Ecovias vai antecipar terceiras faixas na BR-101 Norte entre Linhares e Pedro Canário (obras até 2027). Disponível em: https://www.esfala.com.br/2026/05/28/ecovias-vai-antecipar-terceiras-faixas-na-br-101-norte-entre-linhares-e-pedro-canario/ . Acesso em: 16/08/2026.</w:t>
      </w:r>
    </w:p>
    <w:p>
      <w:pPr>
        <w:pStyle w:val="BodyText"/>
      </w:pPr>
      <w:r>
        <w:t xml:space="preserve">[32] Conexão ES — Espírito Santo recebe mais de R$ 1,2 bilhão em novas indústrias de café. Disponível em: https://www.conexaoes.com.br/noticia/espirito-santo-recebe-mais-de-r-1-2-bilhao-em-novas-industrias-e-consolida-protagonismo-na-industrializacao-do-cafe . Acesso em: 16/08/2026.</w:t>
      </w:r>
    </w:p>
    <w:p>
      <w:pPr>
        <w:pStyle w:val="BodyText"/>
      </w:pPr>
      <w:r>
        <w:t xml:space="preserve">[33] ES Hoje — Construção civil sustenta 75 mil empregos no ES (Sinduscon-ES, jul/2026). Disponível em: https://eshoje.com.br/economia/2026/07/construcao-civil-sustenta-75-mil-empregos-no-es/ . Acesso em: 16/08/2026.</w:t>
      </w:r>
    </w:p>
    <w:p>
      <w:pPr>
        <w:pStyle w:val="BodyText"/>
      </w:pPr>
      <w:r>
        <w:t xml:space="preserve">[34] ES Brasil — Construção civil do ES supera adversidades e cresce em 2025 (IAE-Findes; Selic 15%). Disponível em: https://esbrasil.com.br/construcao-civil-do-es-supera-adversidades-e-cresce-em-2025/ . Acesso em: 16/08/2026.</w:t>
      </w:r>
    </w:p>
    <w:p>
      <w:pPr>
        <w:pStyle w:val="BodyText"/>
      </w:pPr>
      <w:r>
        <w:t xml:space="preserve">[35] CBIC — SindusCon-SP e FGV Ibre preveem crescimento de 3% do PIB da construção para 2025 (revisado a 1,3%). Disponível em: https://cbic.org.br/sinduscon-sp-e-fgv-ibre-preveem-crescimento-de-3-do-pib-da-construcao-para-2025/ . Acesso em: 16/08/2026.</w:t>
      </w:r>
    </w:p>
    <w:p>
      <w:pPr>
        <w:pStyle w:val="BodyText"/>
      </w:pPr>
      <w:r>
        <w:t xml:space="preserve">[36] Sinduscon-ES — 45º Censo Imobiliário do Sinduscon-ES (out/2025): 59,8% médio/alto padrão; 40,2% econômico/MCMV. Disponível em: https://sinduscon-es.com.br/v2/cgi-bin-mobile/noticia.asp?idnoticia=5847 . Acesso em: 16/08/2026.</w:t>
      </w:r>
    </w:p>
    <w:p>
      <w:pPr>
        <w:pStyle w:val="BodyText"/>
      </w:pPr>
      <w:r>
        <w:t xml:space="preserve">[37] Enfoque Notícias — Agora é lei: São Mateus é a Capital Estadual do Petróleo e Gás. Disponível em: https://enfoquenoticias.com.br/agora-e-lei-sao-mateus-e-a-capital-estadual-do-petroleo-e-gas/ . Acesso em: 16/08/2026.</w:t>
      </w:r>
    </w:p>
    <w:p>
      <w:pPr>
        <w:pStyle w:val="BodyText"/>
      </w:pPr>
      <w:r>
        <w:t xml:space="preserve">[38] TC Online — Venda do Polo Norte Capixaba: Seacrest pretende investir US$ 400 milhões para expandir a produção no ES (aquisições de US$ 699 mi desde 2021). Disponível em: https://tconline.com.br/venda-do-polo-norte-capixaba-seacrest-pretende-investir-400-milhoes-de-dolares-para-expandir-a-producao-no-es/ . Acesso em: 16/08/2026.</w:t>
      </w:r>
    </w:p>
    <w:p>
      <w:pPr>
        <w:pStyle w:val="BodyText"/>
      </w:pPr>
      <w:r>
        <w:t xml:space="preserve">[39] A Gazeta — Produção de petróleo em terra deve criar 2 mil empregos até 2025 no ES. Disponível em: https://www.agazeta.com.br/es/economia/producao-de-petroleo-em-terra-deve-criar-2-mil-empregos-ate-2025-no-es-1123 . Acesso em: 16/08/2026.</w:t>
      </w:r>
    </w:p>
    <w:p>
      <w:pPr>
        <w:pStyle w:val="BodyText"/>
      </w:pPr>
      <w:r>
        <w:t xml:space="preserve">[40] Em Dia ES — Com alta no petróleo, indústria do ES cresce 20,2% e lidera avanço no Brasil. Disponível em: https://emdiaes.com.br/economia/com-alta-no-petroleo-industria-do-es-cresce-202-e-lidera-avanco-no-brasil . Acesso em: 16/08/2026.</w:t>
      </w:r>
    </w:p>
    <w:p>
      <w:pPr>
        <w:pStyle w:val="BodyText"/>
      </w:pPr>
      <w:r>
        <w:t xml:space="preserve">[41] Sindicafé-ES — Municípios do ES são os maiores produtores de café do país, segundo IBGE (Jaguaré 1º; Vila Valério 2º). Disponível em: https://sindicafe.com.br/municipios-do-es-sao-os-maiores-produtores-de-cafe-do-pais-segundo-ibge/ . Acesso em: 16/08/2026.</w:t>
      </w:r>
    </w:p>
    <w:p>
      <w:pPr>
        <w:pStyle w:val="BodyText"/>
      </w:pPr>
      <w:r>
        <w:t xml:space="preserve">[42] Em Dia ES — Marcopolo expande produção em São Mateus com investimento de R$ 260 milhões (+500 empregos). Disponível em: https://emdiaes.com.br/geral/marcopolo-expande-producao-em-sao-mateus-com-investimento-de-r-260-milhoes/ . Acesso em: 16/08/2026.</w:t>
      </w:r>
    </w:p>
    <w:p>
      <w:pPr>
        <w:pStyle w:val="BodyText"/>
      </w:pPr>
      <w:r>
        <w:t xml:space="preserve">[43] A Gazeta — Gazeta Empresarial — Linhares atrai R$ 3,4 bi em investimentos e acelera economia do norte do ES. Disponível em: https://www.agazeta.com.br/gazetaempresariallinhares/linhares-atrai-r-3-4-bi-em-investimentos-e-acelera-economia-do-norte-do-es-0826 . Acesso em: 16/08/2026.</w:t>
      </w:r>
    </w:p>
    <w:p>
      <w:pPr>
        <w:pStyle w:val="BodyText"/>
      </w:pPr>
      <w:r>
        <w:t xml:space="preserve">[44] Soma Urbanismo — A força da economia de Guriri vai além do verão. Disponível em: https://www.somaurbanismo.com.br/economia-guriri/ . Acesso em: 16/08/2026.</w:t>
      </w:r>
    </w:p>
    <w:p>
      <w:pPr>
        <w:pStyle w:val="BodyText"/>
      </w:pPr>
      <w:r>
        <w:t xml:space="preserve">[45] Soma Urbanismo — Golden Guriri — loteamento em São Mateus/Guriri. Disponível em: https://www.somaurbanismo.com.br/goldenguriri/ . Acesso em: 16/08/2026.</w:t>
      </w:r>
    </w:p>
    <w:p>
      <w:pPr>
        <w:pStyle w:val="BodyText"/>
      </w:pPr>
      <w:r>
        <w:t xml:space="preserve">[46] Rede Notícia ES — Residencial Golden Guriri atinge mais de 70% das vendas. Disponível em: https://redenoticia.es/residencial-golden-guriri-atinge-mais-de-70-das-vendas/ . Acesso em: 16/08/2026.</w:t>
      </w:r>
    </w:p>
    <w:p>
      <w:pPr>
        <w:pStyle w:val="BodyText"/>
      </w:pPr>
      <w:r>
        <w:t xml:space="preserve">[47] Petronotícias — 2025 poderá marcar a arrancada dos grandes investimentos da Petrocity (porto de Urussuquara, São Mateus). Disponível em: https://petronoticias.com.br/o-ano-de-2025-podera-marcar-a-arrancada-dos-grandes-investimentos-do-petrocity-em-usina-termica-e-o-setor-de-logistica-portuaria/ . Acesso em: 16/08/2026.</w:t>
      </w:r>
    </w:p>
    <w:p>
      <w:pPr>
        <w:pStyle w:val="BodyText"/>
      </w:pPr>
      <w:r>
        <w:t xml:space="preserve">[48] ES Brasil — Termelétrica de R$ 6 bilhões em São Mateus depende de leilão da ANEEL. Disponível em: https://esbrasil.com.br/termeletrica-de-r-6-bilhoes-em-sao-mateus-depende-de-leilao-da-aneel/ . Acesso em: 16/08/2026.</w:t>
      </w:r>
    </w:p>
    <w:p>
      <w:pPr>
        <w:pStyle w:val="BodyText"/>
      </w:pPr>
      <w:r>
        <w:t xml:space="preserve">[49] IEMA-ES — Licenciamento Ordinário (Geral) — Fabricação de concreto e afins. Disponível em: https://iema.es.gov.br/licenciamento/ordinario/concreto_afins . Acesso em: 16/08/2026.</w:t>
      </w:r>
    </w:p>
    <w:p>
      <w:pPr>
        <w:pStyle w:val="BodyText"/>
      </w:pPr>
      <w:r>
        <w:t xml:space="preserve">[50] IEMA-ES — Anexo A da IN 008/2016 — PCA para concreteiras (fabricação de concreto e afins). Disponível em: https://iema.es.gov.br/Media/iema/Downloads/Licenciamentos/Ordinario/2017.05.22%20-%20ANEXO_A_IN_008_2016_PCA_CONCRETEIRAS.pdf . Acesso em: 16/08/2026.</w:t>
      </w:r>
    </w:p>
    <w:p>
      <w:pPr>
        <w:pStyle w:val="BodyText"/>
      </w:pPr>
      <w:r>
        <w:t xml:space="preserve">[51] Concretest — Laboratório de controle tecnológico de concreto — Serra-ES (ensaios NBR de blocos). Disponível em: https://www.labconcretest.com/ . Acesso em: 16/08/2026.</w:t>
      </w:r>
    </w:p>
    <w:p>
      <w:pPr>
        <w:pStyle w:val="BodyText"/>
      </w:pPr>
      <w:r>
        <w:t xml:space="preserve">[52] Brascontec — Laboratório de ensaios de materiais e estruturas — ES. Disponível em: https://brascontec.com.br/ . Acesso em: 16/08/2026.</w:t>
      </w:r>
    </w:p>
    <w:p>
      <w:pPr>
        <w:pStyle w:val="BodyText"/>
      </w:pPr>
      <w:r>
        <w:t xml:space="preserve">[53] ABCP — Busca de fabricantes com Selo de Qualidade ABCP. Disponível em: https://abcp.org.br/resultado-busca-selo-de-qualidade/ . Acesso em: 16/08/2026.</w:t>
      </w:r>
    </w:p>
    <w:p>
      <w:pPr>
        <w:pStyle w:val="BodyText"/>
      </w:pPr>
      <w:r>
        <w:t xml:space="preserve">[54] BlocoBrasil — Fabricantes de blocos e pisos de concreto — região Sudeste. Disponível em: https://blocobrasil.com.br/fabricantes-de-blocos-e-pisos-de-concreto/fabricantes-sudeste/ . Acesso em: 16/08/2026.</w:t>
      </w:r>
    </w:p>
    <w:p>
      <w:pPr>
        <w:pStyle w:val="BodyText"/>
      </w:pPr>
      <w:r>
        <w:t xml:space="preserve">[55] SINTRACONST-ES — Convenção Coletiva de Trabalho 2025/2027 (construção civil ES) — homologada. Disponível em: https://www.sintraconst-es.com.br/arquivos/Convencao_Coletiva_Trabalho_2025_2027_homologada.pdf . Acesso em: 16/08/2026.</w:t>
      </w:r>
    </w:p>
    <w:p>
      <w:pPr>
        <w:pStyle w:val="BodyText"/>
      </w:pPr>
      <w:r>
        <w:t xml:space="preserve">[56] Prefeitura de Linhares — Balanço 2025 — série de avanços (padrão municipal de pavimentação com blocos intertravados). Disponível em: https://linhares.es.gov.br/2025/12/31/balanco-linhares-tem-serie-de-avancos-e-conquistas-ineditas-para-o-bem-estar-da-populacao-neste-ano-de-2025/ . Acesso em: 16/08/2026.</w:t>
      </w:r>
    </w:p>
    <w:p>
      <w:pPr>
        <w:pStyle w:val="BodyText"/>
      </w:pPr>
      <w:r>
        <w:t xml:space="preserve">[57] Prefeitura de Linhares — Pavimentação na localidade de Japira (São Rafael) — ~3.000 m² de blocos de concreto. Disponível em: https://linhares.es.gov.br/2025/10/10/prefeitura-realiza-obras-de-pavimentacao-na-localidade-de-japira-no-distrito-de-sao-rafael/ . Acesso em: 16/08/2026.</w:t>
      </w:r>
    </w:p>
    <w:p>
      <w:pPr>
        <w:pStyle w:val="BodyText"/>
      </w:pPr>
      <w:r>
        <w:t xml:space="preserve">[58] Ademar do Bloco — Grupo com 45+ anos — pavers e blocos certificados ABCP, Aracruz-ES. Disponível em: https://ademardobloco.com.br/ . Acesso em: 16/08/2026.</w:t>
      </w:r>
    </w:p>
    <w:p>
      <w:pPr>
        <w:pStyle w:val="BodyText"/>
      </w:pPr>
      <w:r>
        <w:t xml:space="preserve">[59] Bela Vista Pré-Moldados — Blocos estruturais/vedação e paver 35 MPa — Serra-ES (desde 1996, certificação ABCP). Disponível em: https://belavistapremoldados.com.br/novosite/ . Acesso em: 16/08/2026.</w:t>
      </w:r>
    </w:p>
    <w:p>
      <w:pPr>
        <w:pStyle w:val="BodyText"/>
      </w:pPr>
      <w:r>
        <w:t xml:space="preserve">[60] Cidade Engenharia — Blocos de concreto com Selo ABCP — Serra-ES (maior planta do setor no estado). Disponível em: https://www.cidadeengenharia.com.br/ . Acesso em: 16/08/2026.</w:t>
      </w:r>
    </w:p>
    <w:p>
      <w:pPr>
        <w:pStyle w:val="BodyText"/>
      </w:pPr>
      <w:r>
        <w:t xml:space="preserve">[61] ABCP — Associação Brasileira de Cimento Portland — Pesquisa inédita e exclusiva revela cenário do mercado brasileiro de concreto. Disponível em: https://abcp.org.br/pesquisa-inedita-e-exclusiva-revela-cenario-do-mercado-brasileiro-de-concreto/ . Acesso em: 16/08/2026.</w:t>
      </w:r>
    </w:p>
    <w:p>
      <w:pPr>
        <w:pStyle w:val="BodyText"/>
      </w:pPr>
      <w:r>
        <w:t xml:space="preserve">[62] TC Online — Déficit habitacional em São Mateus é de quase 3 mil residências. Disponível em: https://tconline.com.br/deficit-habitacional-em-sao-mateus-e-de-quase-3-mil-residencias/ . Acesso em: 16/08/2026.</w:t>
      </w:r>
    </w:p>
    <w:p>
      <w:pPr>
        <w:pStyle w:val="BodyText"/>
      </w:pPr>
      <w:r>
        <w:t xml:space="preserve">[63] Agência Gov — Minha Casa, Minha Vida: novas moradias em 15 estados (jun/2025 — ES: 102 casas, incl. Nova Venécia e Montanha). Disponível em: https://agenciagov.ebc.com.br/noticias/202506/minha-casa-minha-vida-novas-moradias-serao-construidas-em-15-estados . Acesso em: 16/08/2026.</w:t>
      </w:r>
    </w:p>
    <w:p>
      <w:pPr>
        <w:pStyle w:val="BodyText"/>
      </w:pPr>
      <w:r>
        <w:t xml:space="preserve">[64] Agência Gov — Minha Casa, Minha Vida: contratações de novas moradias em 14 estados (mai/2025 — São Mateus contemplada). Disponível em: https://agenciagov.ebc.com.br/noticias/202505/minha-casa-minha-vida-contratacoes-novas-moradias-14-estados . Acesso em: 16/08/2026.</w:t>
      </w:r>
    </w:p>
    <w:p>
      <w:pPr>
        <w:pStyle w:val="BodyText"/>
      </w:pPr>
      <w:r>
        <w:t xml:space="preserve">[65] Secom/Governo Federal — No Espírito Santo, 1,3 mil moradias são selecionadas no Minha Casa, Minha Vida Rural e Entidades. Disponível em: https://www.gov.br/secom/pt-br/assuntos/noticias-regionalizadas/mcmv-rural/no-espirito-santo-1-3-mil-moradias-sao-selecionadas-no-minha-casa-minha-vida-rural-e-entidades . Acesso em: 16/08/2026.</w:t>
      </w:r>
    </w:p>
    <w:p>
      <w:pPr>
        <w:pStyle w:val="BodyText"/>
      </w:pPr>
      <w:r>
        <w:t xml:space="preserve">[66] Soma Urbanismo — Pré-lançamento Prestige Guriri (ago/2025). Disponível em: https://www.somaurbanismo.com.br/pre-lancamento-prestige-guriri . Acesso em: 16/08/2026.</w:t>
      </w:r>
    </w:p>
    <w:p>
      <w:pPr>
        <w:pStyle w:val="BodyText"/>
      </w:pPr>
      <w:r>
        <w:t xml:space="preserve">[67] SEDURB-ES — Governo do Estado inaugura obras e anuncia novos investimentos em São Mateus (R$ 7 mi para 26 ruas em blocos de concreto). Disponível em: https://sedurb.es.gov.br/Not%C3%ADcia/governo-do-estado-inaugura-obras-e-anuncia-novos-investimentos-em-sao-mateus . Acesso em: 16/08/2026.</w:t>
      </w:r>
    </w:p>
    <w:p>
      <w:pPr>
        <w:pStyle w:val="BodyText"/>
      </w:pPr>
      <w:r>
        <w:t xml:space="preserve">[68] Prefeitura de São Mateus — Portal de licitações (CE 001/2025 e CE 005/2025 — pavimentação com blocos sextavados). Disponível em: https://www.saomateus.es.gov.br/prefeitura-licitacoes . Acesso em: 16/08/2026.</w:t>
      </w:r>
    </w:p>
    <w:p>
      <w:pPr>
        <w:pStyle w:val="BodyText"/>
      </w:pPr>
      <w:r>
        <w:t xml:space="preserve">[69] Prefeitura de São Mateus — Edital CE 005/2025 — registro de preços para pavimentação com blocos de concreto tipo sextavado. Disponível em: https://www.saomateus.es.gov.br/uploads/licitacoesitens/vld05jzhaebtkip91nxf8w274gmqcsyu6o3r.pdf . Acesso em: 16/08/2026.</w:t>
      </w:r>
    </w:p>
    <w:p>
      <w:pPr>
        <w:pStyle w:val="BodyText"/>
      </w:pPr>
      <w:r>
        <w:t xml:space="preserve">[70] SEP/Planejamento-ES — Governador entrega obras e anuncia investimentos em São Gabriel da Palha (R$ 4,1 mi — drenagem + pavimentação em blocos + calçada cidadã). Disponível em: https://planejamento.es.gov.br/governador-entrega-obras-e-anuncia-novos-investimentos-em-sao-gabriel-da-palha . Acesso em: 16/08/2026.</w:t>
      </w:r>
    </w:p>
    <w:p>
      <w:pPr>
        <w:pStyle w:val="BodyText"/>
      </w:pPr>
      <w:r>
        <w:t xml:space="preserve">[71] Prefeitura de Boa Esperança — Pavimentação de 24 ruas / 22.908 m² (R$ 3,56 mi) e pacote estadual &gt;R$ 45 milhões. Disponível em: https://www.boaesperanca.es.gov.br/noticia/ler/145/boa-esperanca-recebe-publico-recorde-e-ganha-investimentos-r-35-milhoes . Acesso em: 16/08/2026.</w:t>
      </w:r>
    </w:p>
    <w:p>
      <w:pPr>
        <w:pStyle w:val="BodyText"/>
      </w:pPr>
      <w:r>
        <w:t xml:space="preserve">[72] ES Brasil — Caminhos do Campo: 20 anos de transformação rural (R$ 257,4 milhões contratados em 2024–2025; 362 km em 35 municípios). Disponível em: https://esbrasil.com.br/caminhos-campo-20-anos-transformacao-rural/ . Acesso em: 16/08/2026.</w:t>
      </w:r>
    </w:p>
    <w:p>
      <w:pPr>
        <w:pStyle w:val="BodyText"/>
      </w:pPr>
      <w:r>
        <w:t xml:space="preserve">[73] Solutudo — Pre Santos Premoldados — Nestor Gomes, ES-381 km 35, São Mateus-ES (desde 2008). Disponível em: https://www.solutudo.com.br/empresas/es/s-mateus/artefatos-de-cimento/pre-santos-premoldados-17426547 . Acesso em: 16/08/2026.</w:t>
      </w:r>
    </w:p>
    <w:p>
      <w:pPr>
        <w:pStyle w:val="BodyText"/>
      </w:pPr>
      <w:r>
        <w:t xml:space="preserve">[74] Solutudo — EO Pereira Premoldados — Nestor Gomes, ES-381 km 35, São Mateus-ES. Disponível em: https://www.solutudo.com.br/empresas/es/s-mateus/artefatos-de-cimento/eo-pereira-premoldados-14227599 . Acesso em: 16/08/2026.</w:t>
      </w:r>
    </w:p>
    <w:p>
      <w:pPr>
        <w:pStyle w:val="BodyText"/>
      </w:pPr>
      <w:r>
        <w:t xml:space="preserve">[75] CNPJ.biz — Blocos Gama (Lilia Aparecida Alves Gama Blocos) — Nestor Gomes, São Mateus-ES (CNPJ 17.525.928/0001-92). Disponível em: https://cnpj.biz/17525928000192 . Acesso em: 16/08/2026.</w:t>
      </w:r>
    </w:p>
    <w:p>
      <w:pPr>
        <w:pStyle w:val="BodyText"/>
      </w:pPr>
      <w:r>
        <w:t xml:space="preserve">[76] Apontador — ITT Premoldados — ES-381 km 28, Nestor Gomes, São Mateus-ES. Disponível em: https://www.apontador.com.br/local/es/sao_mateus/enderecos_empresariais/C404892733312O312F/itt_premoldados.html . Acesso em: 16/08/2026.</w:t>
      </w:r>
    </w:p>
    <w:p>
      <w:pPr>
        <w:pStyle w:val="BodyText"/>
      </w:pPr>
      <w:r>
        <w:t xml:space="preserve">[77] Apontador — Megalaje Premoldados — ES-344 km 32, São Mateus-ES. Disponível em: https://www.apontador.com.br/local/es/sao_mateus/enderecos_empresariais/C40645681C215D2157/megalaje_premoldados.html . Acesso em: 16/08/2026.</w:t>
      </w:r>
    </w:p>
    <w:p>
      <w:pPr>
        <w:pStyle w:val="BodyText"/>
      </w:pPr>
      <w:r>
        <w:t xml:space="preserve">[78] Econodata — Premat Premoldados Mateense Ltda — São Mateus-ES (CNPJ 02.907.287/0001-63, desde 1998). Disponível em: https://www.econodata.com.br/consulta-empresa/02907287000163-premat-premoldados-mateense-ltda . Acesso em: 16/08/2026.</w:t>
      </w:r>
    </w:p>
    <w:p>
      <w:pPr>
        <w:pStyle w:val="BodyText"/>
      </w:pPr>
      <w:r>
        <w:t xml:space="preserve">[79] Econodata — Concreto Show (Barra Nova Ind. Com. e Serviços Ltda) — São Mateus-ES (CNPJ 02.617.208/0001-80; bloquetes, meio-fio, tubos). Disponível em: https://www.econodata.com.br/consulta-empresa/02617208000180-BARRA-NOVA-INDUSTRIA-COMERCIO-E-SERVICOS-LTDA . Acesso em: 16/08/2026.</w:t>
      </w:r>
    </w:p>
    <w:p>
      <w:pPr>
        <w:pStyle w:val="BodyText"/>
      </w:pPr>
      <w:r>
        <w:t xml:space="preserve">[80] Materiais de Construção ES — Marcos Blocos — Guriri Sul, São Mateus-ES. Disponível em: https://www.materiaisdeconstrucaoes.com.br/empresas/marcos-blocos-guriri-sul-es . Acesso em: 16/08/2026.</w:t>
      </w:r>
    </w:p>
    <w:p>
      <w:pPr>
        <w:pStyle w:val="BodyText"/>
      </w:pPr>
      <w:r>
        <w:t xml:space="preserve">[81] Diário Cidade — Guriri Premoldados e Granitos — São Mateus-ES (CNPJ 34.759.713/0001-55). Disponível em: https://www.diariocidade.com/es/sao-mateus/guia/guriri-premoldados-e-granitos-34759713000155/ . Acesso em: 16/08/2026.</w:t>
      </w:r>
    </w:p>
    <w:p>
      <w:pPr>
        <w:pStyle w:val="BodyText"/>
      </w:pPr>
      <w:r>
        <w:t xml:space="preserve">[82] Serasa Experian — NG Premoldados Ltda — São Mateus-ES (CNPJ 51.577.665/0001-01, aberta em 2023). Disponível em: https://empresas.serasaexperian.com.br/consulta-gratis/NG-PREMOLDADOS-LTDA-51577665000101 . Acesso em: 16/08/2026.</w:t>
      </w:r>
    </w:p>
    <w:p>
      <w:pPr>
        <w:pStyle w:val="BodyText"/>
      </w:pPr>
      <w:r>
        <w:t xml:space="preserve">[83] Econodata — Maiores empresas do CNAE 2330-3/99 em São Mateus-ES. Disponível em: https://www.econodata.com.br/empresas/es-sao-mateus/fabricacao-de-outros-artefatos-e-produtos-de-concreto-cimento-fibrocimento-gesso-e-materiais-semelhantes-c-2330399 . Acesso em: 16/08/2026.</w:t>
      </w:r>
    </w:p>
    <w:p>
      <w:pPr>
        <w:pStyle w:val="BodyText"/>
      </w:pPr>
      <w:r>
        <w:t xml:space="preserve">[84] Econodata — Principais empresas do CNAE 2330-3/02 em São Mateus-ES. Disponível em: https://www.econodata.com.br/empresas/es-sao-mateus/fabricacao-de-artefatos-de-cimento-para-uso-na-construcao-c-2330302 . Acesso em: 16/08/2026.</w:t>
      </w:r>
    </w:p>
    <w:p>
      <w:pPr>
        <w:pStyle w:val="BodyText"/>
      </w:pPr>
      <w:r>
        <w:t xml:space="preserve">[85] Premolar / Econodata — Premoldados Linhares Ltda (Premolar) — Linhares-ES (CNPJ 31.779.879/0001-45, desde 1988). Disponível em: https://premolar.com.br/ . Acesso em: 16/08/2026.</w:t>
      </w:r>
    </w:p>
    <w:p>
      <w:pPr>
        <w:pStyle w:val="BodyText"/>
      </w:pPr>
      <w:r>
        <w:t xml:space="preserve">[86] SEJUS-ES — Fábrica em unidade prisional de Linhares produz mil blocos de concreto por dia. Disponível em: https://sejus.es.gov.br/Not%C3%ADcia/fabrica-em-unidade-prisional-de-linhares-produz-mil-blocos-de-concreto-por-dia . Acesso em: 16/08/2026.</w:t>
      </w:r>
    </w:p>
    <w:p>
      <w:pPr>
        <w:pStyle w:val="BodyText"/>
      </w:pPr>
      <w:r>
        <w:t xml:space="preserve">[87] Cerâmica Manula — Telhas, tijolos, blocos de concreto, areia e argila — Nova Venécia-ES. Disponível em: https://ceramicamanula.com.br/ . Acesso em: 16/08/2026.</w:t>
      </w:r>
    </w:p>
    <w:p>
      <w:pPr>
        <w:pStyle w:val="BodyText"/>
      </w:pPr>
      <w:r>
        <w:t xml:space="preserve">[88] BN Pré-moldados — Blocos estruturais, pavers e canaletas em carga fechada — Teixeira de Freitas-BA. Disponível em: https://lp.bnpremoldados.com/ . Acesso em: 16/08/2026.</w:t>
      </w:r>
    </w:p>
    <w:p>
      <w:pPr>
        <w:pStyle w:val="BodyText"/>
      </w:pPr>
      <w:r>
        <w:t xml:space="preserve">[89] ES Brasil — Cerâmica vermelha no Espírito Santo (~50 milhões de peças/mês; polos Norte, Centro e Sul). Disponível em: https://esbrasil.com.br/ceramica-vermelha-no-espirito-santo/ . Acesso em: 16/08/2026.</w:t>
      </w:r>
    </w:p>
    <w:p>
      <w:pPr>
        <w:pStyle w:val="BodyText"/>
      </w:pPr>
      <w:r>
        <w:t xml:space="preserve">[90] CCA Artefatos de Cimento — Quanto custa construir com blocos de concreto em 2025 — guia de preços. Disponível em: https://ccaartefatosdecimento.com.br/quanto-custa-construir-com-blocos-de-concreto-em-2025-guia-completo-para-engenheiros-arquitetos-e-construtoras/ . Acesso em: 16/08/2026.</w:t>
      </w:r>
    </w:p>
    <w:p>
      <w:pPr>
        <w:pStyle w:val="BodyText"/>
      </w:pPr>
      <w:r>
        <w:t xml:space="preserve">[91] Mizu Cimentos — Localização das unidades (unidade Vitória-ES, CP II-E/CP III). Disponível em: https://mizu.com.br/localizacao/ . Acesso em: 16/08/2026.</w:t>
      </w:r>
    </w:p>
    <w:p>
      <w:pPr>
        <w:pStyle w:val="BodyText"/>
      </w:pPr>
      <w:r>
        <w:t xml:space="preserve">[92] Cimento Nassau — Visão geral — fábricas (unidade Sudeste em Cachoeiro de Itapemirim-ES). Disponível em: https://cimentonassau.com.br/cimentos/visao-geral-cimentos-nassau/ . Acesso em: 16/08/2026.</w:t>
      </w:r>
    </w:p>
    <w:p>
      <w:pPr>
        <w:pStyle w:val="BodyText"/>
      </w:pPr>
      <w:r>
        <w:t xml:space="preserve">[93] Barbosa Estrutural — Preço do cimento 2025 no Brasil — estimativas (granel R$ 350–550/t). Disponível em: https://barbosaestrutural.com.br/preco-cimento-2025-brasil-estimativa/ . Acesso em: 16/08/2026.</w:t>
      </w:r>
    </w:p>
    <w:p>
      <w:pPr>
        <w:pStyle w:val="BodyText"/>
      </w:pPr>
      <w:r>
        <w:t xml:space="preserve">[94] Bloomberg — Brazil’s CSN seeks $2.9 billion for sale of entire cement unit (2026). Disponível em: https://www.bloomberg.com/news/articles/2026-08-05/brazil-s-csn-seeks-2-9-billion-for-sales-of-entire-cement-unit . Acesso em: 16/08/2026.</w:t>
      </w:r>
    </w:p>
    <w:p>
      <w:pPr>
        <w:pStyle w:val="BodyText"/>
      </w:pPr>
      <w:r>
        <w:t xml:space="preserve">[95] Econodata — Maiores empresas de extração e britamento (CNAE 0810-0/99) no Espírito Santo. Disponível em: https://www.econodata.com.br/empresas/es/extracao-e-britamento-de-pedras-e-outros-materiais-para-construcao-e-beneficiamento-associado-b-0810099 . Acesso em: 16/08/2026.</w:t>
      </w:r>
    </w:p>
    <w:p>
      <w:pPr>
        <w:pStyle w:val="BodyText"/>
      </w:pPr>
      <w:r>
        <w:t xml:space="preserve">[96] Econodata — Pedreira Pinheiros Ltda (Pedreira Mattar) — Pinheiros-ES (CNPJ 34.002.904/0001-78). Disponível em: https://www.econodata.com.br/consulta-empresa/34002904000178-PEDREIRA-PINHEIROS-LTDA . Acesso em: 16/08/2026.</w:t>
      </w:r>
    </w:p>
    <w:p>
      <w:pPr>
        <w:pStyle w:val="BodyText"/>
      </w:pPr>
      <w:r>
        <w:t xml:space="preserve">[97] Econodata — Britanorte Ltda — Linhares-ES (CNPJ 27.166.032/0001-18). Disponível em: https://www.econodata.com.br/consulta-empresa/27166032000118-britanorte-ltda . Acesso em: 16/08/2026.</w:t>
      </w:r>
    </w:p>
    <w:p>
      <w:pPr>
        <w:pStyle w:val="BodyText"/>
      </w:pPr>
      <w:r>
        <w:t xml:space="preserve">[98] MC-Bauchemie Brasil — Murasan Hydrotech 16 — aditivo para concreto vibroprensado (ficha técnica). Disponível em: https://www.mc-bauchemie.com.br/assets/downloads/products/pt-BR/fichas_tecnicas/Murasan%20Hydrotech%2016.pdf . Acesso em: 16/08/2026.</w:t>
      </w:r>
    </w:p>
    <w:p>
      <w:pPr>
        <w:pStyle w:val="BodyText"/>
      </w:pPr>
      <w:r>
        <w:t xml:space="preserve">[99] Aditibras — Plastificantes para concreto seco/vibroprensado. Disponível em: https://aditibras.com.br/plastificantes-para-concreto-seco/ . Acesso em: 16/08/2026.</w:t>
      </w:r>
    </w:p>
    <w:p>
      <w:pPr>
        <w:pStyle w:val="BodyText"/>
      </w:pPr>
      <w:r>
        <w:t xml:space="preserve">[100] Lanxess — Bayferrox — pigmentos de óxido de ferro para concreto. Disponível em: https://lanxess.com/pt-br/produtos/marcas/bayferrox/produtos-e-aplica%C3%A7%C3%B5es . Acesso em: 16/08/2026.</w:t>
      </w:r>
    </w:p>
    <w:p>
      <w:pPr>
        <w:pStyle w:val="BodyText"/>
      </w:pPr>
      <w:r>
        <w:t xml:space="preserve">[101] Quimar Indústrias Químicas — Distribuição de pigmentos e especialidades (Bayferrox). Disponível em: https://quimar.com.br/nossos-produtos/ . Acesso em: 16/08/2026.</w:t>
      </w:r>
    </w:p>
    <w:p>
      <w:pPr>
        <w:pStyle w:val="BodyText"/>
      </w:pPr>
      <w:r>
        <w:t xml:space="preserve">[102] JPS Embalagens — Pallets de madeira para cimento e blocos de concreto. Disponível em: https://jpsembalagens.com.br/cimento.htm . Acesso em: 16/08/2026.</w:t>
      </w:r>
    </w:p>
    <w:p>
      <w:pPr>
        <w:pStyle w:val="BodyText"/>
      </w:pPr>
      <w:r>
        <w:t xml:space="preserve">[103] Sotreq (Caterpillar) — Filial Serra-ES — carregadeiras. Disponível em: https://www.sotreq.com.br/filial-sotreq/15 . Acesso em: 16/08/2026.</w:t>
      </w:r>
    </w:p>
    <w:p>
      <w:pPr>
        <w:pStyle w:val="BodyText"/>
      </w:pPr>
      <w:r>
        <w:t xml:space="preserve">[104] Cargas.com.br — Transportadoras em São Mateus-ES (diretório). Disponível em: https://cargas.com.br/transportadoras/sao-mateus-es . Acesso em: 16/08/2026.</w:t>
      </w:r>
    </w:p>
    <w:p>
      <w:pPr>
        <w:pStyle w:val="BodyText"/>
      </w:pPr>
      <w:r>
        <w:t xml:space="preserve">[105] SEDURB-ES — São Mateus recebe mais de R$ 31 milhões em obras. Disponível em: https://sedurb.es.gov.br/sao-mateus-recebe-mais-de-r-31-milhoes-em-obr . Acesso em: 16/08/2026.</w:t>
      </w:r>
    </w:p>
    <w:p>
      <w:pPr>
        <w:pStyle w:val="BodyText"/>
      </w:pPr>
      <w:r>
        <w:t xml:space="preserve">[106] DER-ES — Governo do Estado realiza obras de calçamento rural em São Mateus. Disponível em: https://der.es.gov.br/Noticia/governo-do-estado-realiza-obras-de-calcamento-rural-em-sao-mateus . Acesso em: 16/08/2026.</w:t>
      </w:r>
    </w:p>
    <w:p>
      <w:pPr>
        <w:pStyle w:val="BodyText"/>
      </w:pPr>
      <w:r>
        <w:t xml:space="preserve">[107] SEDU/Governo do ES — Governo inaugura pavimentação de ruas e anuncia novas obras em Jaguaré. Disponível em: https://sedu.es.gov.br/Not%C3%ADcia/governo-inaugura-pavimentacao-de-ruas-e-anuncia-novas-obras-em-jaguare . Acesso em: 16/08/2026.</w:t>
      </w:r>
    </w:p>
    <w:p>
      <w:pPr>
        <w:pStyle w:val="BodyText"/>
      </w:pPr>
      <w:r>
        <w:t xml:space="preserve">[108] SEDURB-ES — Governo inaugura obras de infraestrutura em Pedro Canário (~12.698 m² de blocos de concreto; R$ 2,48 mi). Disponível em: https://sedurb.es.gov.br/Not%C3%ADcia/governo-inaugura-obras-de-infraestrutura-e-autoriza-novos-investimentos-em-pedro-canario . Acesso em: 16/08/2026.</w:t>
      </w:r>
    </w:p>
    <w:p>
      <w:pPr>
        <w:pStyle w:val="BodyText"/>
      </w:pPr>
      <w:r>
        <w:t xml:space="preserve">[109] Prefeitura de Pinheiros — Pavimentação de trecho da estrada Pinheiros–Pedro Canário com bloco holandês (10.000 m²). Disponível em: http://www.pinheiros.es.gov.br/noticia/ler/15062/pavimentacao-de-trecho-da-estrada-pinheiros-pedro-canario-e-iniciada . Acesso em: 16/08/2026.</w:t>
      </w:r>
    </w:p>
    <w:p>
      <w:pPr>
        <w:pStyle w:val="BodyText"/>
      </w:pPr>
      <w:r>
        <w:t xml:space="preserve">[110] Prefeitura de Linhares — Estado e Prefeitura investirão mais de R$ 59 milhões em macrodrenagem e mobilidade (2026). Disponível em: https://linhares.es.gov.br/2026/06/26/governo-do-estado-e-prefeitura-irao-investir-mais-de-r-59-milhoes-em-obras-de-macrodrenagem-e-mobilidade-em-linhares/ . Acesso em: 16/08/2026.</w:t>
      </w:r>
    </w:p>
    <w:p>
      <w:pPr>
        <w:pStyle w:val="BodyText"/>
      </w:pPr>
      <w:r>
        <w:t xml:space="preserve">[111] SEAG-ES — Governo do Estado investe mais de R$ 30 milhões em pavimentação rural em Linhares. Disponível em: https://seag.es.gov.br/Not%C3%ADcia/governo-do-estado-investe-mais-de-r-30-milhoes-em-pavimentacao-rural-em-linhares . Acesso em: 16/08/2026.</w:t>
      </w:r>
    </w:p>
    <w:p>
      <w:pPr>
        <w:pStyle w:val="BodyText"/>
      </w:pPr>
      <w:r>
        <w:t xml:space="preserve">[112] SEAG-ES — Programa Caminhos do Campo — página oficial. Disponível em: https://seag.es.gov.br/acoes-e-programas/caminhos-do-campo . Acesso em: 16/08/2026.</w:t>
      </w:r>
    </w:p>
    <w:p>
      <w:pPr>
        <w:pStyle w:val="BodyText"/>
      </w:pPr>
      <w:r>
        <w:t xml:space="preserve">[113] Prefeitura de Sooretama — TP 019/2023 — muro de contenção, drenagem e pavimentação (edital). Disponível em: https://www.sooretama.es.gov.br/uploads/licitacao/2120-tp-0192023-obra-da-rua-boa-esperanca-proc-78912023-1703781924.pdf . Acesso em: 16/08/2026.</w:t>
      </w:r>
    </w:p>
    <w:p>
      <w:pPr>
        <w:pStyle w:val="BodyText"/>
      </w:pPr>
      <w:r>
        <w:t xml:space="preserve">[114] Direto Notícias — Governo inaugura pavimentação da ES-358/356 e investimentos em Sooretama (R$ 185 mi; avenidas urbanas previstas p/ 2026). Disponível em: https://diretonoticias.com.br/2025/08/24/governo-do-estado-inaugura-pavimentacao-de-rodovia-e-mais-investimentos-em-sooretama/ . Acesso em: 16/08/2026.</w:t>
      </w:r>
    </w:p>
    <w:p>
      <w:pPr>
        <w:pStyle w:val="BodyText"/>
      </w:pPr>
      <w:r>
        <w:t xml:space="preserve">[115] SEDURB-ES — Programa Nossa Casa — habitação de interesse social (Estado do ES). Disponível em: https://sedurb.es.gov.br/programa-nossa-casa . Acesso em: 16/08/2026.</w:t>
      </w:r>
    </w:p>
    <w:p>
      <w:pPr>
        <w:pStyle w:val="BodyText"/>
      </w:pPr>
      <w:r>
        <w:t xml:space="preserve">[116] A Gazeta — Construtora vai lançar mais de 2 mil unidades do MCMV em Vila Velha, Serra, Linhares e Aracruz (Recanto: 2.220 UH, VGV R$ 736,9 mi em 2026). Disponível em: https://www.agazeta.com.br/colunas/metro-quadrado/construtora-vai-lancar-mais-de-2-mil-unidades-do-minha-casa-minha-vida-em-vila-velha-serra-linhares-e-aracruz-0226 . Acesso em: 16/08/2026.</w:t>
      </w:r>
    </w:p>
    <w:p>
      <w:pPr>
        <w:pStyle w:val="BodyText"/>
      </w:pPr>
      <w:r>
        <w:t xml:space="preserve">[117] Casa Melhor — Loja de materiais de construção — São Mateus-ES (30+ anos). Disponível em: https://casamelhorconstrucao.com.br/ . Acesso em: 16/08/2026.</w:t>
      </w:r>
    </w:p>
    <w:p>
      <w:pPr>
        <w:pStyle w:val="BodyText"/>
      </w:pPr>
      <w:r>
        <w:t xml:space="preserve">[118] Normadel — Material de construção — São Mateus-ES (desde 1989, BR-101 km 65). Disponível em: https://normadel.com.br/ . Acesso em: 16/08/2026.</w:t>
      </w:r>
    </w:p>
    <w:p>
      <w:pPr>
        <w:pStyle w:val="BodyText"/>
      </w:pPr>
      <w:r>
        <w:t xml:space="preserve">[119] ABC da Construção — Loja São Mateus-ES (diretório oficial). Disponível em: https://www.abcdaconstrucao.com.br/diretorio-de-lojas/espirito-santo/sao-mateus . Acesso em: 16/08/2026.</w:t>
      </w:r>
    </w:p>
    <w:p>
      <w:pPr>
        <w:pStyle w:val="BodyText"/>
      </w:pPr>
      <w:r>
        <w:t xml:space="preserve">[120] ABC da Construção — Loja Jaguaré-ES (diretório oficial). Disponível em: https://www.abcdaconstrucao.com.br/diretorio-de-lojas/espirito-santo/jaguare . Acesso em: 16/08/2026.</w:t>
      </w:r>
    </w:p>
    <w:p>
      <w:pPr>
        <w:pStyle w:val="BodyText"/>
      </w:pPr>
      <w:r>
        <w:t xml:space="preserve">[121] AppLocal — Furlan Materiais de Construção — Nova Venécia-ES. Disponível em: https://applocal.com.br/empresa/furlan-materiais-de-construcao/nova-venecia/es/11126406 . Acesso em: 16/08/2026.</w:t>
      </w:r>
    </w:p>
    <w:p>
      <w:pPr>
        <w:pStyle w:val="BodyText"/>
      </w:pPr>
      <w:r>
        <w:t xml:space="preserve">[122] Dalla Home Center — Materiais de construção — Linhares-ES. Disponível em: https://www.dallahomecenter.com.br/construcao/materiais-de-construcao . Acesso em: 16/08/2026.</w:t>
      </w:r>
    </w:p>
    <w:p>
      <w:pPr>
        <w:pStyle w:val="BodyText"/>
      </w:pPr>
      <w:r>
        <w:t xml:space="preserve">[123] Sudene — Sudene e BNB apresentam distribuição orçamentária dos R$ 52,6 bilhões do FNE 2026 aos estados (ES: R$ 1,3 bi). Disponível em: https://www.gov.br/sudene/pt-br/assuntos/noticias/sudene-e-bnb-apresentam-distribuicao-orcamentaria-dos-r-52-6-bilhoes-fne-2026-aos-estados . Acesso em: 16/08/2026.</w:t>
      </w:r>
    </w:p>
    <w:p>
      <w:pPr>
        <w:pStyle w:val="BodyText"/>
      </w:pPr>
      <w:r>
        <w:t xml:space="preserve">[124] Banco do Nordeste — FNE — Fundo Constitucional de Financiamento do Nordeste. Disponível em: https://www.bnb.gov.br/fne . Acesso em: 16/08/2026.</w:t>
      </w:r>
    </w:p>
    <w:p>
      <w:pPr>
        <w:pStyle w:val="BodyText"/>
      </w:pPr>
      <w:r>
        <w:t xml:space="preserve">[125] Agência Gov — FNE terá orçamento recorde e amplia apoio à base produtiva do Nordeste (2026). Disponível em: https://agenciagov.ebc.com.br/noticias/202601/fne-tera-orcamento-recorde-e-amplia-apoio-a-base-produtiva-do-nordeste . Acesso em: 16/08/2026.</w:t>
      </w:r>
    </w:p>
    <w:p>
      <w:pPr>
        <w:pStyle w:val="BodyText"/>
      </w:pPr>
      <w:r>
        <w:t xml:space="preserve">[126] Sebrae — A taxa de sobrevivência das empresas no Brasil (indústria de transformação: 27,3% de mortalidade em 5 anos). Disponível em: https://sebrae.com.br/sites/PortalSebrae/artigos/a-taxa-de-sobrevivencia-das-empresas-no-brasil,d5147a3a415f5810VgnVCM1000001b00320aRCRD . Acesso em: 16/08/2026.</w:t>
      </w:r>
    </w:p>
    <w:p>
      <w:pPr>
        <w:pStyle w:val="BodyText"/>
      </w:pPr>
      <w:r>
        <w:t xml:space="preserve">[127] Agência Brasil — Sebrae: pequenos negócios têm maior taxa de mortalidade. Disponível em: https://agenciabrasil.ebc.com.br/economia/noticia/2021-06/sebrae-pequenos-negocios-tem-maior-taxa-de-mortalidade . Acesso em: 16/08/2026.</w:t>
      </w:r>
    </w:p>
    <w:p>
      <w:pPr>
        <w:pStyle w:val="BodyText"/>
      </w:pPr>
      <w:r>
        <w:t xml:space="preserve">[128] Cronoshare — Quanto custa a construção de um galpão industrial? Preços em 2026. Disponível em: https://www.cronoshare.com.br/quanto-custa/construir-galpao-industrial . Acesso em: 16/08/2026.</w:t>
      </w:r>
    </w:p>
    <w:p>
      <w:pPr>
        <w:pStyle w:val="BodyText"/>
      </w:pPr>
      <w:r>
        <w:t xml:space="preserve">[129] Galpão Pré-Moldado — Quanto custa construir um galpão? Calculadora (2026) — R$ 1.250–1.900/m². Disponível em: https://galpao-premoldado.com/quanto-custa-construir-um-galpao/ . Acesso em: 16/08/2026.</w:t>
      </w:r>
    </w:p>
    <w:p>
      <w:pPr>
        <w:pStyle w:val="BodyText"/>
      </w:pPr>
      <w:r>
        <w:t xml:space="preserve">[130] SEDES-ES — Invista no ES — incentivos estaduais (Invest-ES, Funres) e federais na área da Sudene. Disponível em: https://sedes.es.gov.br/invista-no-es . Acesso em: 16/08/2026.</w:t>
      </w:r>
    </w:p>
    <w:p>
      <w:pPr>
        <w:pStyle w:val="BodyText"/>
      </w:pPr>
      <w:r>
        <w:t xml:space="preserve">[131] Folha Vitória — Indústria capixaba avança 20,2% e é a que mais cresce no país no primeiro semestre (PIM-PF/IBGE, jan–jun/2026 vs. 1S2025; Brasil +1,5%). Disponível em: https://www.folhavitoria.com.br/economia/industria-capixaba-avanca-202-e-e-a-que-mais-cresce-no-pais-no-primeiro-semestre/ . Acesso em: 16/08/2026.</w:t>
      </w:r>
    </w:p>
    <w:p>
      <w:pPr>
        <w:pStyle w:val="BodyText"/>
      </w:pPr>
      <w:r>
        <w:t xml:space="preserve">[132] IBGE — Área de Atuação da SUDENE (delimitação oficial; inclui 31 municípios do Espírito Santo conforme LC nº 185/2021). Disponível em: https://www.ibge.gov.br/geociencias/organizacao-do-territorio/estrutura-territorial/34331-area-de-atuacao-da-sudene.html . Acesso em: 16/08/2026.</w:t>
      </w:r>
    </w:p>
    <w:p>
      <w:pPr>
        <w:pStyle w:val="BodyText"/>
      </w:pPr>
      <w:r>
        <w:t xml:space="preserve">[133] JusBrasil — Lei Complementar nº 125, de 03/01/2007 (institui a Sudene; área de atuação com municípios listados por alterações posteriores — LC nº 185/2021). Disponível em: https://www.jusbrasil.com.br/legislacao/95031/lei-de-criacao-da-sudene-lei-complementar-125-07 . Acesso em: 16/08/2026.</w:t>
      </w:r>
    </w:p>
    <w:p>
      <w:pPr>
        <w:pStyle w:val="BodyText"/>
      </w:pPr>
      <w:r>
        <w:t xml:space="preserve">[134] CADE — Cadernos do Cade: Mercado de Cimento no Brasil (2019) — estrutura de canais e concorrência do setor. Disponível em: https://cdn.cade.gov.br/Portal/centrais-de-conteudo/publicacoes/estudos-economicos/cadernos-do-cade/mercado-de-cimento-no-brasil-2019.pdf . Acesso em: 16/08/2026.</w:t>
      </w:r>
    </w:p>
    <w:p>
      <w:pPr>
        <w:pStyle w:val="BodyText"/>
      </w:pPr>
      <w:r>
        <w:t xml:space="preserve">[135] Governo do Estado do ES — Governo do Estado anuncia investimentos e entrega obras em São Mateus (pavimentação em blocos de 26 ruas: mais de 32 mil m² e 10 km de meio-fio; recursos do acordo do Rio Doce/SERD). Disponível em: https://www.es.gov.br/Noticia/governo-do-estado-anuncia-investimentos-e-entrega-obras-em-sao-mateus . Acesso em: 16/08/2026.</w:t>
      </w:r>
    </w:p>
    <w:p>
      <w:pPr>
        <w:pStyle w:val="BodyText"/>
      </w:pPr>
      <w:r>
        <w:t xml:space="preserve">[136] SEAG-ES — Programa de Calçamento Rural (o Estado fornece blocos intertravados e meios-fios de concreto; as prefeituras executam as obras). Disponível em: https://seag.es.gov.br/programa-de-calcamento-rural . Acesso em: 16/08/2026.</w:t>
      </w:r>
    </w:p>
    <w:p>
      <w:pPr>
        <w:pStyle w:val="BodyText"/>
      </w:pPr>
      <w:r>
        <w:t xml:space="preserve">[137] SEAG-ES — Caminhos do Campo: Estado vai pavimentar mais 476 km de estradas rurais. Disponível em: https://seag.es.gov.br/caminhos-do-campo-estado-vai-pavimentar-mais . Acesso em: 16/08/2026.</w:t>
      </w:r>
    </w:p>
    <w:p>
      <w:pPr>
        <w:pStyle w:val="BodyText"/>
      </w:pPr>
      <w:r>
        <w:t xml:space="preserve">[138] Cimento.Org — Cimento no Brasil (consumo per capita de cimento ~280 kg/habitante). Disponível em: https://cimento.org/cimento-no-brasil/ . Acesso em: 16/08/2026.</w:t>
      </w:r>
    </w:p>
    <w:p>
      <w:pPr>
        <w:pStyle w:val="BodyText"/>
      </w:pPr>
      <w:r>
        <w:rPr>
          <w:iCs/>
          <w:i/>
        </w:rPr>
        <w:t xml:space="preserve">Nota metodológica: as URLs acima foram coletadas e conferidas por mecanismo de busca em 15–16/08/2026. A política de rede do ambiente de elaboração impediu a abertura direta (fetch) de parte dos domínios (órgãos estaduais</w:t>
      </w:r>
      <w:r>
        <w:rPr>
          <w:iCs/>
          <w:i/>
        </w:rPr>
        <w:t xml:space="preserve"> </w:t>
      </w:r>
      <w:r>
        <w:t xml:space="preserve">.es.gov.br, portais de notícias e diretórios empresariais); nesses casos, os dados citados provêm dos resultados indexados da busca e a URL é fornecida para verificação direta pelo leitor.*</w:t>
      </w:r>
    </w:p>
    <w:bookmarkEnd w:id="95"/>
    <w:bookmarkStart w:id="105" w:name="X52c0335ee51752016401bccd7a1480d6a0d9533"/>
    <w:p>
      <w:pPr>
        <w:pStyle w:val="Heading1"/>
      </w:pPr>
      <w:r>
        <w:t xml:space="preserve">APÊNDICE A — MEMÓRIA DE CÁLCULO (recalculada por script em 16/08/2026)</w:t>
      </w:r>
    </w:p>
    <w:p>
      <w:pPr>
        <w:pStyle w:val="FirstParagraph"/>
      </w:pPr>
      <w:r>
        <w:rPr>
          <w:iCs/>
          <w:i/>
        </w:rPr>
        <w:t xml:space="preserve">Cada número derivado do estudo, com fórmula, entradas e fonte. Recalculado por script em 16/08/2026.</w:t>
      </w:r>
    </w:p>
    <w:bookmarkStart w:id="96" w:name="Xba9bfe69ca3cbbefd5160f64c4d6b954dca7d84"/>
    <w:p>
      <w:pPr>
        <w:pStyle w:val="Heading2"/>
      </w:pPr>
      <w:r>
        <w:t xml:space="preserve">1. Capacidade de produção (base: proposta Gervasi REV00, turno 8h, fator 90%)</w:t>
      </w:r>
    </w:p>
    <w:p>
      <w:pPr>
        <w:numPr>
          <w:ilvl w:val="0"/>
          <w:numId w:val="1022"/>
        </w:numPr>
        <w:pStyle w:val="Compact"/>
      </w:pPr>
      <w:r>
        <w:t xml:space="preserve">Bloco 14×19×39: 7.020/turno × 22 dias =</w:t>
      </w:r>
      <w:r>
        <w:t xml:space="preserve"> </w:t>
      </w:r>
      <w:r>
        <w:rPr>
          <w:bCs/>
          <w:b/>
        </w:rPr>
        <w:t xml:space="preserve">154.440/mês</w:t>
      </w:r>
      <w:r>
        <w:t xml:space="preserve">; × 12 =</w:t>
      </w:r>
      <w:r>
        <w:t xml:space="preserve"> </w:t>
      </w:r>
      <w:r>
        <w:rPr>
          <w:bCs/>
          <w:b/>
        </w:rPr>
        <w:t xml:space="preserve">1.853.280/ano</w:t>
      </w:r>
      <w:r>
        <w:t xml:space="preserve"> </w:t>
      </w:r>
      <w:r>
        <w:t xml:space="preserve">(1 turno); 2 turnos = 3.706.560</w:t>
      </w:r>
    </w:p>
    <w:p>
      <w:pPr>
        <w:numPr>
          <w:ilvl w:val="0"/>
          <w:numId w:val="1022"/>
        </w:numPr>
        <w:pStyle w:val="Compact"/>
      </w:pPr>
      <w:r>
        <w:t xml:space="preserve">Bloco 9×19×39: 10.530/turno × 22 dias =</w:t>
      </w:r>
      <w:r>
        <w:t xml:space="preserve"> </w:t>
      </w:r>
      <w:r>
        <w:rPr>
          <w:bCs/>
          <w:b/>
        </w:rPr>
        <w:t xml:space="preserve">231.660/mês</w:t>
      </w:r>
      <w:r>
        <w:t xml:space="preserve">; × 12 =</w:t>
      </w:r>
      <w:r>
        <w:t xml:space="preserve"> </w:t>
      </w:r>
      <w:r>
        <w:rPr>
          <w:bCs/>
          <w:b/>
        </w:rPr>
        <w:t xml:space="preserve">2.779.920/ano</w:t>
      </w:r>
      <w:r>
        <w:t xml:space="preserve"> </w:t>
      </w:r>
      <w:r>
        <w:t xml:space="preserve">(1 turno); 2 turnos = 5.559.840</w:t>
      </w:r>
    </w:p>
    <w:p>
      <w:pPr>
        <w:numPr>
          <w:ilvl w:val="0"/>
          <w:numId w:val="1022"/>
        </w:numPr>
        <w:pStyle w:val="Compact"/>
      </w:pPr>
      <w:r>
        <w:t xml:space="preserve">Bloco 19×19×39: 5.265/turno × 22 dias =</w:t>
      </w:r>
      <w:r>
        <w:t xml:space="preserve"> </w:t>
      </w:r>
      <w:r>
        <w:rPr>
          <w:bCs/>
          <w:b/>
        </w:rPr>
        <w:t xml:space="preserve">115.830/mês</w:t>
      </w:r>
      <w:r>
        <w:t xml:space="preserve">; × 12 =</w:t>
      </w:r>
      <w:r>
        <w:t xml:space="preserve"> </w:t>
      </w:r>
      <w:r>
        <w:rPr>
          <w:bCs/>
          <w:b/>
        </w:rPr>
        <w:t xml:space="preserve">1.389.960/ano</w:t>
      </w:r>
      <w:r>
        <w:t xml:space="preserve"> </w:t>
      </w:r>
      <w:r>
        <w:t xml:space="preserve">(1 turno); 2 turnos = 2.779.920</w:t>
      </w:r>
    </w:p>
    <w:p>
      <w:pPr>
        <w:numPr>
          <w:ilvl w:val="0"/>
          <w:numId w:val="1022"/>
        </w:numPr>
        <w:pStyle w:val="Compact"/>
      </w:pPr>
      <w:r>
        <w:t xml:space="preserve">Paver H6 (m²): 530/turno × 22 dias =</w:t>
      </w:r>
      <w:r>
        <w:t xml:space="preserve"> </w:t>
      </w:r>
      <w:r>
        <w:rPr>
          <w:bCs/>
          <w:b/>
        </w:rPr>
        <w:t xml:space="preserve">11.660/mês</w:t>
      </w:r>
      <w:r>
        <w:t xml:space="preserve">; × 12 =</w:t>
      </w:r>
      <w:r>
        <w:t xml:space="preserve"> </w:t>
      </w:r>
      <w:r>
        <w:rPr>
          <w:bCs/>
          <w:b/>
        </w:rPr>
        <w:t xml:space="preserve">139.920/ano</w:t>
      </w:r>
      <w:r>
        <w:t xml:space="preserve"> </w:t>
      </w:r>
      <w:r>
        <w:t xml:space="preserve">(1 turno); 2 turnos = 279.840</w:t>
      </w:r>
    </w:p>
    <w:p>
      <w:pPr>
        <w:numPr>
          <w:ilvl w:val="0"/>
          <w:numId w:val="1022"/>
        </w:numPr>
        <w:pStyle w:val="Compact"/>
      </w:pPr>
      <w:r>
        <w:t xml:space="preserve">Paver por hora: 530 m² ÷ 7,2 h efetivas (8h × 90%) =</w:t>
      </w:r>
      <w:r>
        <w:t xml:space="preserve"> </w:t>
      </w:r>
      <w:r>
        <w:rPr>
          <w:bCs/>
          <w:b/>
        </w:rPr>
        <w:t xml:space="preserve">73,6 m²/h</w:t>
      </w:r>
      <w:r>
        <w:t xml:space="preserve"> </w:t>
      </w:r>
      <w:r>
        <w:t xml:space="preserve">(proposta traz dígitos comprimidos; derivação declarada no §3,3)</w:t>
      </w:r>
    </w:p>
    <w:bookmarkEnd w:id="96"/>
    <w:bookmarkStart w:id="97" w:name="consumos-e-autonomia"/>
    <w:p>
      <w:pPr>
        <w:pStyle w:val="Heading2"/>
      </w:pPr>
      <w:r>
        <w:t xml:space="preserve">2. Consumos e autonomia</w:t>
      </w:r>
    </w:p>
    <w:p>
      <w:pPr>
        <w:numPr>
          <w:ilvl w:val="0"/>
          <w:numId w:val="1023"/>
        </w:numPr>
        <w:pStyle w:val="Compact"/>
      </w:pPr>
      <w:r>
        <w:t xml:space="preserve">Cimento: 1,00 kg/bloco (premissa; ref. WM Máquinas ~1,05, Gervasi economiza até 15%) × 7.020 =</w:t>
      </w:r>
      <w:r>
        <w:t xml:space="preserve"> </w:t>
      </w:r>
      <w:r>
        <w:rPr>
          <w:bCs/>
          <w:b/>
        </w:rPr>
        <w:t xml:space="preserve">7,02 t/dia</w:t>
      </w:r>
    </w:p>
    <w:p>
      <w:pPr>
        <w:numPr>
          <w:ilvl w:val="0"/>
          <w:numId w:val="1023"/>
        </w:numPr>
        <w:pStyle w:val="Compact"/>
      </w:pPr>
      <w:r>
        <w:t xml:space="preserve">Autonomia do silo: 90 t ÷ 7,02 t/dia =</w:t>
      </w:r>
      <w:r>
        <w:t xml:space="preserve"> </w:t>
      </w:r>
      <w:r>
        <w:rPr>
          <w:bCs/>
          <w:b/>
        </w:rPr>
        <w:t xml:space="preserve">12,8 dias úteis</w:t>
      </w:r>
      <w:r>
        <w:t xml:space="preserve"> </w:t>
      </w:r>
      <w:r>
        <w:t xml:space="preserve">(≈13)</w:t>
      </w:r>
    </w:p>
    <w:p>
      <w:pPr>
        <w:numPr>
          <w:ilvl w:val="0"/>
          <w:numId w:val="1023"/>
        </w:numPr>
        <w:pStyle w:val="Compact"/>
      </w:pPr>
      <w:r>
        <w:t xml:space="preserve">Concreto: 5,4 m³/h × 7,2 h =</w:t>
      </w:r>
      <w:r>
        <w:t xml:space="preserve"> </w:t>
      </w:r>
      <w:r>
        <w:rPr>
          <w:bCs/>
          <w:b/>
        </w:rPr>
        <w:t xml:space="preserve">38,9 m³/turno</w:t>
      </w:r>
      <w:r>
        <w:t xml:space="preserve"> </w:t>
      </w:r>
      <w:r>
        <w:t xml:space="preserve">(bloco 14)</w:t>
      </w:r>
    </w:p>
    <w:bookmarkEnd w:id="97"/>
    <w:bookmarkStart w:id="98" w:name="Xb2eaa923cffbd5a06921c98d72c946581ce6436"/>
    <w:p>
      <w:pPr>
        <w:pStyle w:val="Heading2"/>
      </w:pPr>
      <w:r>
        <w:t xml:space="preserve">3. Área de influência ponderada (Censo 2022; fatores por distância/concorrência)</w:t>
      </w:r>
    </w:p>
    <w:p>
      <w:pPr>
        <w:numPr>
          <w:ilvl w:val="0"/>
          <w:numId w:val="1024"/>
        </w:numPr>
        <w:pStyle w:val="Compact"/>
      </w:pPr>
      <w:r>
        <w:t xml:space="preserve">São Mateus: 123.750 × 100% = 123.750</w:t>
      </w:r>
    </w:p>
    <w:p>
      <w:pPr>
        <w:numPr>
          <w:ilvl w:val="0"/>
          <w:numId w:val="1024"/>
        </w:numPr>
        <w:pStyle w:val="Compact"/>
      </w:pPr>
      <w:r>
        <w:t xml:space="preserve">Nova Venécia: 49.065 × 25% = 12.266</w:t>
      </w:r>
    </w:p>
    <w:p>
      <w:pPr>
        <w:numPr>
          <w:ilvl w:val="0"/>
          <w:numId w:val="1024"/>
        </w:numPr>
        <w:pStyle w:val="Compact"/>
      </w:pPr>
      <w:r>
        <w:t xml:space="preserve">Jaguaré: 28.931 × 25% = 7.233</w:t>
      </w:r>
    </w:p>
    <w:p>
      <w:pPr>
        <w:numPr>
          <w:ilvl w:val="0"/>
          <w:numId w:val="1024"/>
        </w:numPr>
        <w:pStyle w:val="Compact"/>
      </w:pPr>
      <w:r>
        <w:t xml:space="preserve">Vila Valério: 14.065 × 15% = 2.110</w:t>
      </w:r>
    </w:p>
    <w:p>
      <w:pPr>
        <w:numPr>
          <w:ilvl w:val="0"/>
          <w:numId w:val="1024"/>
        </w:numPr>
        <w:pStyle w:val="Compact"/>
      </w:pPr>
      <w:r>
        <w:t xml:space="preserve">Boa Esperança: 15.146 × 10% = 1.515</w:t>
      </w:r>
    </w:p>
    <w:p>
      <w:pPr>
        <w:numPr>
          <w:ilvl w:val="0"/>
          <w:numId w:val="1024"/>
        </w:numPr>
        <w:pStyle w:val="Compact"/>
      </w:pPr>
      <w:r>
        <w:t xml:space="preserve">São Gabriel da Palha: 39.085 × 5% = 1.954</w:t>
      </w:r>
    </w:p>
    <w:p>
      <w:pPr>
        <w:numPr>
          <w:ilvl w:val="0"/>
          <w:numId w:val="1024"/>
        </w:numPr>
        <w:pStyle w:val="Compact"/>
      </w:pPr>
      <w:r>
        <w:t xml:space="preserve">Conceição da Barra: 27.458 × 5% = 1.373</w:t>
      </w:r>
    </w:p>
    <w:p>
      <w:pPr>
        <w:numPr>
          <w:ilvl w:val="0"/>
          <w:numId w:val="1024"/>
        </w:numPr>
        <w:pStyle w:val="Compact"/>
      </w:pPr>
      <w:r>
        <w:t xml:space="preserve">Pedro Canário: 26.575 × 5% = 1.329</w:t>
      </w:r>
    </w:p>
    <w:p>
      <w:pPr>
        <w:numPr>
          <w:ilvl w:val="0"/>
          <w:numId w:val="1024"/>
        </w:numPr>
        <w:pStyle w:val="Compact"/>
      </w:pPr>
      <w:r>
        <w:t xml:space="preserve">Pinheiros: 27.601 × 5% = 1.380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Total: 351.676 hab; ponderado = 152.909 ≈ 152,9 mil hab-equivalentes</w:t>
      </w:r>
      <w:r>
        <w:t xml:space="preserve"> </w:t>
      </w:r>
      <w:r>
        <w:t xml:space="preserve">(+23,6% sobre a sede)</w:t>
      </w:r>
    </w:p>
    <w:bookmarkEnd w:id="98"/>
    <w:bookmarkStart w:id="99" w:name="dimensionamento-da-demanda-1"/>
    <w:p>
      <w:pPr>
        <w:pStyle w:val="Heading2"/>
      </w:pPr>
      <w:r>
        <w:t xml:space="preserve">4. Dimensionamento da demanda</w:t>
      </w:r>
    </w:p>
    <w:p>
      <w:pPr>
        <w:pStyle w:val="FirstParagraph"/>
      </w:pPr>
      <w:r>
        <w:rPr>
          <w:bCs/>
          <w:b/>
        </w:rPr>
        <w:t xml:space="preserve">Método B (principal, bottom-up):</w:t>
      </w:r>
      <w:r>
        <w:t xml:space="preserve"> </w:t>
      </w:r>
      <w:r>
        <w:t xml:space="preserve">- Habitação nova: 700–1.000 UH/ano (premissa: crescimento censitário de ~1,2 mil hab/ano em São Mateus + MCMV + déficit ~3 mil + loteamentos) × 2.200–3.000 blocos/UH (12,5 blocos/m² de parede [CCA]; casa 50–70 m² + muros) =</w:t>
      </w:r>
      <w:r>
        <w:t xml:space="preserve"> </w:t>
      </w:r>
      <w:r>
        <w:rPr>
          <w:bCs/>
          <w:b/>
        </w:rPr>
        <w:t xml:space="preserve">1,5–3,0 milhões de blocos/ano</w:t>
      </w:r>
      <w:r>
        <w:t xml:space="preserve"> </w:t>
      </w:r>
      <w:r>
        <w:t xml:space="preserve">- Muros/reformas/rural: ≥ habitação nova → +1,5–2,5 milhões (premissa setorial declarada)</w:t>
      </w:r>
      <w:r>
        <w:t xml:space="preserve"> </w:t>
      </w:r>
      <w:r>
        <w:t xml:space="preserve">- Pavimentação pública: 32 mil m² só no convênio SERD de São Mateus (26 ruas) + Jaguaré 13 ruas + SEAG fornece blocos no Calçamento Rural; anualizado (pacotes ÷ 2–3 anos) =</w:t>
      </w:r>
      <w:r>
        <w:t xml:space="preserve"> </w:t>
      </w:r>
      <w:r>
        <w:rPr>
          <w:bCs/>
          <w:b/>
        </w:rPr>
        <w:t xml:space="preserve">40–90 mil m²/ano</w:t>
      </w:r>
      <w:r>
        <w:t xml:space="preserve"> </w:t>
      </w:r>
      <w:r>
        <w:t xml:space="preserve">+ privado 20–40 mil m²</w:t>
      </w:r>
      <w:r>
        <w:t xml:space="preserve"> </w:t>
      </w:r>
      <w:r>
        <w:rPr>
          <w:bCs/>
          <w:b/>
        </w:rPr>
        <w:t xml:space="preserve">Método A (validação cruzada, top-down):</w:t>
      </w:r>
      <w:r>
        <w:t xml:space="preserve"> </w:t>
      </w:r>
      <w:r>
        <w:t xml:space="preserve">- Consumo de cimento na área: 152.909 hab-eq × 280 kg/hab/ano (SNIC/cimento.org, publicado) =</w:t>
      </w:r>
      <w:r>
        <w:t xml:space="preserve"> </w:t>
      </w:r>
      <w:r>
        <w:rPr>
          <w:bCs/>
          <w:b/>
        </w:rPr>
        <w:t xml:space="preserve">42.815 t/ano</w:t>
      </w:r>
      <w:r>
        <w:t xml:space="preserve"> </w:t>
      </w:r>
      <w:r>
        <w:t xml:space="preserve">- Premissa artefatos 8% do cimento → 3.425 t → ≈</w:t>
      </w:r>
      <w:r>
        <w:t xml:space="preserve"> </w:t>
      </w:r>
      <w:r>
        <w:rPr>
          <w:bCs/>
          <w:b/>
        </w:rPr>
        <w:t xml:space="preserve">3,4 milhões de blocos-eq/ano</w:t>
      </w:r>
      <w:r>
        <w:t xml:space="preserve"> </w:t>
      </w:r>
      <w:r>
        <w:t xml:space="preserve">(1,0 kg/bloco)</w:t>
      </w:r>
      <w:r>
        <w:t xml:space="preserve"> </w:t>
      </w:r>
      <w:r>
        <w:t xml:space="preserve">- Premissa artefatos 12% do cimento → 5.138 t → ≈</w:t>
      </w:r>
      <w:r>
        <w:t xml:space="preserve"> </w:t>
      </w:r>
      <w:r>
        <w:rPr>
          <w:bCs/>
          <w:b/>
        </w:rPr>
        <w:t xml:space="preserve">5,1 milhões de blocos-eq/ano</w:t>
      </w:r>
      <w:r>
        <w:t xml:space="preserve"> </w:t>
      </w:r>
      <w:r>
        <w:t xml:space="preserve">(1,0 kg/bloco)</w:t>
      </w:r>
      <w:r>
        <w:t xml:space="preserve"> </w:t>
      </w:r>
      <w:r>
        <w:t xml:space="preserve">- Premissa artefatos 15% do cimento → 6.422 t → ≈</w:t>
      </w:r>
      <w:r>
        <w:t xml:space="preserve"> </w:t>
      </w:r>
      <w:r>
        <w:rPr>
          <w:bCs/>
          <w:b/>
        </w:rPr>
        <w:t xml:space="preserve">6,4 milhões de blocos-eq/ano</w:t>
      </w:r>
      <w:r>
        <w:t xml:space="preserve"> </w:t>
      </w:r>
      <w:r>
        <w:t xml:space="preserve">(1,0 kg/bloco)</w:t>
      </w:r>
      <w:r>
        <w:t xml:space="preserve"> </w:t>
      </w:r>
      <w:r>
        <w:t xml:space="preserve">- Convergência A×B:</w:t>
      </w:r>
      <w:r>
        <w:t xml:space="preserve"> </w:t>
      </w:r>
      <w:r>
        <w:rPr>
          <w:bCs/>
          <w:b/>
        </w:rPr>
        <w:t xml:space="preserve">mercado de 4–6 milhões de blocos-eq + 70–150 mil m² de pavimentação/ano</w:t>
      </w:r>
      <w:r>
        <w:t xml:space="preserve"> </w:t>
      </w:r>
      <w:r>
        <w:t xml:space="preserve">- Valor do SAM: (4–6 mi blocos-eq × preço médio de fábrica ~R$ 3,00) + (70–150 mil m² × ~R$ 55) = R$ 15,8–26,2 mi →</w:t>
      </w:r>
      <w:r>
        <w:t xml:space="preserve"> </w:t>
      </w:r>
      <w:r>
        <w:rPr>
          <w:bCs/>
          <w:b/>
        </w:rPr>
        <w:t xml:space="preserve">faixa adotada R$ 16–25 mi/ano</w:t>
      </w:r>
      <w:r>
        <w:t xml:space="preserve"> </w:t>
      </w:r>
      <w:r>
        <w:t xml:space="preserve">(arredondamento conservador)</w:t>
      </w:r>
    </w:p>
    <w:bookmarkEnd w:id="99"/>
    <w:bookmarkStart w:id="100" w:name="Xbbaff5217245c5160a94944a44c37f220d8fdf9"/>
    <w:p>
      <w:pPr>
        <w:pStyle w:val="Heading2"/>
      </w:pPr>
      <w:r>
        <w:t xml:space="preserve">5. Receita plena de 1 turno — derivada do mix (não afirmada)</w:t>
      </w:r>
    </w:p>
    <w:p>
      <w:pPr>
        <w:numPr>
          <w:ilvl w:val="0"/>
          <w:numId w:val="1025"/>
        </w:numPr>
        <w:pStyle w:val="Compact"/>
      </w:pPr>
      <w:r>
        <w:t xml:space="preserve">Bloco 14 vedação: 40% dos dias (106) × 7.020 = 741.312 un/m² × R$ 3,30 =</w:t>
      </w:r>
      <w:r>
        <w:t xml:space="preserve"> </w:t>
      </w:r>
      <w:r>
        <w:rPr>
          <w:bCs/>
          <w:b/>
        </w:rPr>
        <w:t xml:space="preserve">R$ 2.446.330</w:t>
      </w:r>
    </w:p>
    <w:p>
      <w:pPr>
        <w:numPr>
          <w:ilvl w:val="0"/>
          <w:numId w:val="1025"/>
        </w:numPr>
        <w:pStyle w:val="Compact"/>
      </w:pPr>
      <w:r>
        <w:t xml:space="preserve">Bloco 14 estrutural: 20% dos dias (53) × 7.020 = 370.656 un/m² × R$ 4,50 =</w:t>
      </w:r>
      <w:r>
        <w:t xml:space="preserve"> </w:t>
      </w:r>
      <w:r>
        <w:rPr>
          <w:bCs/>
          <w:b/>
        </w:rPr>
        <w:t xml:space="preserve">R$ 1.667.952</w:t>
      </w:r>
    </w:p>
    <w:p>
      <w:pPr>
        <w:numPr>
          <w:ilvl w:val="0"/>
          <w:numId w:val="1025"/>
        </w:numPr>
        <w:pStyle w:val="Compact"/>
      </w:pPr>
      <w:r>
        <w:t xml:space="preserve">Bloco 9 vedação: 15% dos dias (40) × 10.530 = 416.988 un/m² × R$ 2,80 =</w:t>
      </w:r>
      <w:r>
        <w:t xml:space="preserve"> </w:t>
      </w:r>
      <w:r>
        <w:rPr>
          <w:bCs/>
          <w:b/>
        </w:rPr>
        <w:t xml:space="preserve">R$ 1.167.566</w:t>
      </w:r>
    </w:p>
    <w:p>
      <w:pPr>
        <w:numPr>
          <w:ilvl w:val="0"/>
          <w:numId w:val="1025"/>
        </w:numPr>
        <w:pStyle w:val="Compact"/>
      </w:pPr>
      <w:r>
        <w:t xml:space="preserve">Bloco 19/canaleta: 10% dos dias (26) × 5.265 = 138.996 un/m² × R$ 5,50 =</w:t>
      </w:r>
      <w:r>
        <w:t xml:space="preserve"> </w:t>
      </w:r>
      <w:r>
        <w:rPr>
          <w:bCs/>
          <w:b/>
        </w:rPr>
        <w:t xml:space="preserve">R$ 764.478</w:t>
      </w:r>
    </w:p>
    <w:p>
      <w:pPr>
        <w:numPr>
          <w:ilvl w:val="0"/>
          <w:numId w:val="1025"/>
        </w:numPr>
        <w:pStyle w:val="Compact"/>
      </w:pPr>
      <w:r>
        <w:t xml:space="preserve">Paver e=6 (m²): 15% dos dias (40) × 530 = 20.988 un/m² × R$ 57,00 =</w:t>
      </w:r>
      <w:r>
        <w:t xml:space="preserve"> </w:t>
      </w:r>
      <w:r>
        <w:rPr>
          <w:bCs/>
          <w:b/>
        </w:rPr>
        <w:t xml:space="preserve">R$ 1.196.316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RECEITA PLENA (100% de 1 turno) = R$ 7.242.642 ≈ R$ 7,2 milhões/ano</w:t>
      </w:r>
    </w:p>
    <w:p>
      <w:pPr>
        <w:numPr>
          <w:ilvl w:val="0"/>
          <w:numId w:val="1025"/>
        </w:numPr>
        <w:pStyle w:val="Compact"/>
      </w:pPr>
      <w:r>
        <w:t xml:space="preserve">MC média ponderada derivada = 36,5% →</w:t>
      </w:r>
      <w:r>
        <w:t xml:space="preserve"> </w:t>
      </w:r>
      <w:r>
        <w:rPr>
          <w:bCs/>
          <w:b/>
        </w:rPr>
        <w:t xml:space="preserve">adotada 35,0% (conservadora, abaixo da derivada)</w:t>
      </w:r>
    </w:p>
    <w:bookmarkEnd w:id="100"/>
    <w:bookmarkStart w:id="101" w:name="Xb3c349e07e0bf9711fc8a7eba1eede11674088d"/>
    <w:p>
      <w:pPr>
        <w:pStyle w:val="Heading2"/>
      </w:pPr>
      <w:r>
        <w:t xml:space="preserve">6. Cenários (base única = R$ 7,24 mi; MC 35%; fixos R$ 52 mil/mês; dívida FNE ~R$ 60 mil/mês SAC pós-carência)</w:t>
      </w:r>
    </w:p>
    <w:p>
      <w:pPr>
        <w:numPr>
          <w:ilvl w:val="0"/>
          <w:numId w:val="1026"/>
        </w:numPr>
        <w:pStyle w:val="Compact"/>
      </w:pPr>
      <w:r>
        <w:t xml:space="preserve">Pessimista (35,0%): receita R$ 2.534.925 | MC R$ 887.224 | EBITDA ≈</w:t>
      </w:r>
      <w:r>
        <w:t xml:space="preserve"> </w:t>
      </w:r>
      <w:r>
        <w:rPr>
          <w:bCs/>
          <w:b/>
        </w:rPr>
        <w:t xml:space="preserve">R$ 263.224</w:t>
      </w:r>
    </w:p>
    <w:p>
      <w:pPr>
        <w:numPr>
          <w:ilvl w:val="0"/>
          <w:numId w:val="1026"/>
        </w:numPr>
        <w:pStyle w:val="Compact"/>
      </w:pPr>
      <w:r>
        <w:t xml:space="preserve">Base ano 1 (42,5%): receita R$ 3.078.123 | MC R$ 1.077.343 | EBITDA ≈</w:t>
      </w:r>
      <w:r>
        <w:t xml:space="preserve"> </w:t>
      </w:r>
      <w:r>
        <w:rPr>
          <w:bCs/>
          <w:b/>
        </w:rPr>
        <w:t xml:space="preserve">R$ 453.343</w:t>
      </w:r>
    </w:p>
    <w:p>
      <w:pPr>
        <w:numPr>
          <w:ilvl w:val="0"/>
          <w:numId w:val="1026"/>
        </w:numPr>
        <w:pStyle w:val="Compact"/>
      </w:pPr>
      <w:r>
        <w:t xml:space="preserve">Base ano 2 (60,0%): receita R$ 4.345.585 | MC R$ 1.520.955 | EBITDA ≈</w:t>
      </w:r>
      <w:r>
        <w:t xml:space="preserve"> </w:t>
      </w:r>
      <w:r>
        <w:rPr>
          <w:bCs/>
          <w:b/>
        </w:rPr>
        <w:t xml:space="preserve">R$ 896.955</w:t>
      </w:r>
    </w:p>
    <w:p>
      <w:pPr>
        <w:numPr>
          <w:ilvl w:val="0"/>
          <w:numId w:val="1026"/>
        </w:numPr>
        <w:pStyle w:val="Compact"/>
      </w:pPr>
      <w:r>
        <w:t xml:space="preserve">Base ano 3 (regime) (77,5%): receita R$ 5.613.048 | MC R$ 1.964.567 | EBITDA ≈</w:t>
      </w:r>
      <w:r>
        <w:t xml:space="preserve"> </w:t>
      </w:r>
      <w:r>
        <w:rPr>
          <w:bCs/>
          <w:b/>
        </w:rPr>
        <w:t xml:space="preserve">R$ 1.340.567</w:t>
      </w:r>
    </w:p>
    <w:p>
      <w:pPr>
        <w:numPr>
          <w:ilvl w:val="0"/>
          <w:numId w:val="1026"/>
        </w:numPr>
        <w:pStyle w:val="Compact"/>
      </w:pPr>
      <w:r>
        <w:t xml:space="preserve">Pleno 1 turno (95,0%): receita R$ 6.880.510 | MC R$ 2.408.178 | EBITDA ≈</w:t>
      </w:r>
      <w:r>
        <w:t xml:space="preserve"> </w:t>
      </w:r>
      <w:r>
        <w:rPr>
          <w:bCs/>
          <w:b/>
        </w:rPr>
        <w:t xml:space="preserve">R$ 1.784.178</w:t>
      </w:r>
    </w:p>
    <w:p>
      <w:pPr>
        <w:numPr>
          <w:ilvl w:val="0"/>
          <w:numId w:val="1026"/>
        </w:numPr>
        <w:pStyle w:val="Compact"/>
      </w:pPr>
      <w:r>
        <w:t xml:space="preserve">Equilíbrio operacional: 52.000 ÷ 35% =</w:t>
      </w:r>
      <w:r>
        <w:t xml:space="preserve"> </w:t>
      </w:r>
      <w:r>
        <w:rPr>
          <w:bCs/>
          <w:b/>
        </w:rPr>
        <w:t xml:space="preserve">R$ 148.571/mês</w:t>
      </w:r>
      <w:r>
        <w:t xml:space="preserve"> </w:t>
      </w:r>
      <w:r>
        <w:t xml:space="preserve">= 24,6% da capacidade de 1 turno (</w:t>
      </w:r>
      <w:r>
        <w:rPr>
          <w:bCs/>
          <w:b/>
        </w:rPr>
        <w:t xml:space="preserve">≈25%</w:t>
      </w:r>
      <w:r>
        <w:t xml:space="preserve">)</w:t>
      </w:r>
    </w:p>
    <w:p>
      <w:pPr>
        <w:numPr>
          <w:ilvl w:val="0"/>
          <w:numId w:val="1026"/>
        </w:numPr>
        <w:pStyle w:val="Compact"/>
      </w:pPr>
      <w:r>
        <w:t xml:space="preserve">Equilíbrio c/ dívida: (52.000+60.000) ÷ 35% =</w:t>
      </w:r>
      <w:r>
        <w:t xml:space="preserve"> </w:t>
      </w:r>
      <w:r>
        <w:rPr>
          <w:bCs/>
          <w:b/>
        </w:rPr>
        <w:t xml:space="preserve">R$ 320.000/mês</w:t>
      </w:r>
      <w:r>
        <w:t xml:space="preserve"> </w:t>
      </w:r>
      <w:r>
        <w:t xml:space="preserve">= 53,0% (</w:t>
      </w:r>
      <w:r>
        <w:rPr>
          <w:bCs/>
          <w:b/>
        </w:rPr>
        <w:t xml:space="preserve">≈53%</w:t>
      </w:r>
      <w:r>
        <w:t xml:space="preserve">)</w:t>
      </w:r>
    </w:p>
    <w:bookmarkEnd w:id="101"/>
    <w:bookmarkStart w:id="102" w:name="market-share-requerido-sam-r-1625-miano"/>
    <w:p>
      <w:pPr>
        <w:pStyle w:val="Heading2"/>
      </w:pPr>
      <w:r>
        <w:t xml:space="preserve">7. Market share requerido (SAM R$ 16–25 mi/ano)</w:t>
      </w:r>
    </w:p>
    <w:p>
      <w:pPr>
        <w:numPr>
          <w:ilvl w:val="0"/>
          <w:numId w:val="1027"/>
        </w:numPr>
        <w:pStyle w:val="Compact"/>
      </w:pPr>
      <w:r>
        <w:t xml:space="preserve">Base ano 1: R$ 3.078.123 → share 12%–19% do SAM</w:t>
      </w:r>
    </w:p>
    <w:p>
      <w:pPr>
        <w:numPr>
          <w:ilvl w:val="0"/>
          <w:numId w:val="1027"/>
        </w:numPr>
        <w:pStyle w:val="Compact"/>
      </w:pPr>
      <w:r>
        <w:t xml:space="preserve">Base ano 3 (regime): R$ 5.613.048 → share 22%–35% do SAM</w:t>
      </w:r>
    </w:p>
    <w:bookmarkEnd w:id="102"/>
    <w:bookmarkStart w:id="103" w:name="investimento-total"/>
    <w:p>
      <w:pPr>
        <w:pStyle w:val="Heading2"/>
      </w:pPr>
      <w:r>
        <w:t xml:space="preserve">8. Investimento total</w:t>
      </w:r>
    </w:p>
    <w:p>
      <w:pPr>
        <w:numPr>
          <w:ilvl w:val="0"/>
          <w:numId w:val="1028"/>
        </w:numPr>
        <w:pStyle w:val="Compact"/>
      </w:pPr>
      <w:r>
        <w:t xml:space="preserve">Subtotal CAPEX: R$ 5.893.000 a R$ 7.263.000 (soma das 9 rubricas do §13,1)</w:t>
      </w:r>
    </w:p>
    <w:p>
      <w:pPr>
        <w:numPr>
          <w:ilvl w:val="0"/>
          <w:numId w:val="1028"/>
        </w:numPr>
        <w:pStyle w:val="Compact"/>
      </w:pPr>
    </w:p>
    <w:p>
      <w:pPr>
        <w:numPr>
          <w:ilvl w:val="1"/>
          <w:numId w:val="1029"/>
        </w:numPr>
        <w:pStyle w:val="Compact"/>
      </w:pPr>
      <w:r>
        <w:t xml:space="preserve">Capital de giro 700–900 mil →</w:t>
      </w:r>
      <w:r>
        <w:t xml:space="preserve"> </w:t>
      </w:r>
      <w:r>
        <w:rPr>
          <w:bCs/>
          <w:b/>
        </w:rPr>
        <w:t xml:space="preserve">INVESTIMENTO TOTAL R$ 6.593.000 a R$ 8.163.000 (≈6,6–8,2 mi)</w:t>
      </w:r>
    </w:p>
    <w:p>
      <w:pPr>
        <w:numPr>
          <w:ilvl w:val="0"/>
          <w:numId w:val="1028"/>
        </w:numPr>
        <w:pStyle w:val="Compact"/>
      </w:pPr>
      <w:r>
        <w:t xml:space="preserve">Payback bruto: ~R$ 7,4 mi (ponto médio) ÷ EBITDA regime R$ 1.340.567 ≈</w:t>
      </w:r>
      <w:r>
        <w:t xml:space="preserve"> </w:t>
      </w:r>
      <w:r>
        <w:rPr>
          <w:bCs/>
          <w:b/>
        </w:rPr>
        <w:t xml:space="preserve">5,5 anos</w:t>
      </w:r>
      <w:r>
        <w:t xml:space="preserve"> </w:t>
      </w:r>
      <w:r>
        <w:t xml:space="preserve">(faixa 5–6)</w:t>
      </w:r>
    </w:p>
    <w:bookmarkEnd w:id="103"/>
    <w:bookmarkStart w:id="104" w:name="física-do-frete-corrigida"/>
    <w:p>
      <w:pPr>
        <w:pStyle w:val="Heading2"/>
      </w:pPr>
      <w:r>
        <w:t xml:space="preserve">9. Física do frete (corrigida)</w:t>
      </w:r>
    </w:p>
    <w:p>
      <w:pPr>
        <w:numPr>
          <w:ilvl w:val="0"/>
          <w:numId w:val="1030"/>
        </w:numPr>
        <w:pStyle w:val="Compact"/>
      </w:pPr>
      <w:r>
        <w:t xml:space="preserve">Truck 13–14 t ÷ 11,9 kg/bloco =</w:t>
      </w:r>
      <w:r>
        <w:t xml:space="preserve"> </w:t>
      </w:r>
      <w:r>
        <w:rPr>
          <w:bCs/>
          <w:b/>
        </w:rPr>
        <w:t xml:space="preserve">1.092–1.176 blocos por viagem</w:t>
      </w:r>
    </w:p>
    <w:p>
      <w:pPr>
        <w:numPr>
          <w:ilvl w:val="0"/>
          <w:numId w:val="1030"/>
        </w:numPr>
        <w:pStyle w:val="Compact"/>
      </w:pPr>
      <w:r>
        <w:t xml:space="preserve">Entrega a 30 km (60 km rodados, R$ 7–9/km): R$ 420–540 ÷ 1.090–1.170 blocos =</w:t>
      </w:r>
      <w:r>
        <w:t xml:space="preserve"> </w:t>
      </w:r>
      <w:r>
        <w:rPr>
          <w:bCs/>
          <w:b/>
        </w:rPr>
        <w:t xml:space="preserve">R$ 0,36–0,49/bloco</w:t>
      </w:r>
    </w:p>
    <w:p>
      <w:pPr>
        <w:numPr>
          <w:ilvl w:val="0"/>
          <w:numId w:val="1030"/>
        </w:numPr>
        <w:pStyle w:val="Compact"/>
      </w:pPr>
      <w:r>
        <w:t xml:space="preserve">Carreta 25–30 t da Grande Vitória (~200 km; 400 km rodados; R$ 8–10/km): R$ 3.200–4.000 ÷ 2.100–2.500 blocos =</w:t>
      </w:r>
      <w:r>
        <w:t xml:space="preserve"> </w:t>
      </w:r>
      <w:r>
        <w:rPr>
          <w:bCs/>
          <w:b/>
        </w:rPr>
        <w:t xml:space="preserve">R$ 1,28–1,90/bloco</w:t>
      </w:r>
    </w:p>
    <w:p>
      <w:pPr>
        <w:numPr>
          <w:ilvl w:val="0"/>
          <w:numId w:val="1030"/>
        </w:numPr>
        <w:pStyle w:val="Compact"/>
      </w:pPr>
      <w:r>
        <w:t xml:space="preserve">Paver e=6 (~135 kg/m²): truck leva ≈</w:t>
      </w:r>
      <w:r>
        <w:t xml:space="preserve"> </w:t>
      </w:r>
      <w:r>
        <w:rPr>
          <w:bCs/>
          <w:b/>
        </w:rPr>
        <w:t xml:space="preserve">96–104 m²</w:t>
      </w:r>
    </w:p>
    <w:p>
      <w:pPr>
        <w:pStyle w:val="FirstParagraph"/>
      </w:pPr>
      <w:r>
        <w:rPr>
          <w:iCs/>
          <w:i/>
        </w:rPr>
        <w:t xml:space="preserve">Conclusão auditada: vantagem de frete da GTK sobre a Grande Vitória de ~3 a 5× por bloco entregue no 1º anel.</w:t>
      </w:r>
    </w:p>
    <w:bookmarkEnd w:id="104"/>
    <w:bookmarkEnd w:id="105"/>
    <w:bookmarkStart w:id="112" w:name="Xe06269ffbe6292ca05dba537153c8085dc38f50"/>
    <w:p>
      <w:pPr>
        <w:pStyle w:val="Heading1"/>
      </w:pPr>
      <w:r>
        <w:t xml:space="preserve">APÊNDICE B — AUDITORIA DE FONTES E CONSISTÊNCIA</w:t>
      </w:r>
    </w:p>
    <w:p>
      <w:pPr>
        <w:pStyle w:val="FirstParagraph"/>
      </w:pPr>
      <w:r>
        <w:rPr>
          <w:bCs/>
          <w:b/>
        </w:rPr>
        <w:t xml:space="preserve">Data da auditoria:</w:t>
      </w:r>
      <w:r>
        <w:t xml:space="preserve"> </w:t>
      </w:r>
      <w:r>
        <w:t xml:space="preserve">16/08/2026 ·</w:t>
      </w:r>
      <w:r>
        <w:t xml:space="preserve"> </w:t>
      </w:r>
      <w:r>
        <w:rPr>
          <w:bCs/>
          <w:b/>
        </w:rPr>
        <w:t xml:space="preserve">Escopo:</w:t>
      </w:r>
      <w:r>
        <w:t xml:space="preserve"> </w:t>
      </w:r>
      <w:r>
        <w:t xml:space="preserve">as 138 referências do estudo, os parâmetros sem fonte pública (premissas) e a consistência aritmética interna.</w:t>
      </w:r>
    </w:p>
    <w:p>
      <w:pPr>
        <w:pStyle w:val="BodyText"/>
      </w:pPr>
      <w:r>
        <w:rPr>
          <w:bCs/>
          <w:b/>
        </w:rPr>
        <w:t xml:space="preserve">Legenda de status: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Confirmada</w:t>
      </w:r>
      <w:r>
        <w:t xml:space="preserve"> </w:t>
      </w:r>
      <w:r>
        <w:t xml:space="preserve">— o dado citado foi verificado em mais de um resultado de busca ou em documento primário (proposta comercial, SINAPI-ES, legislação);</w:t>
      </w:r>
      <w:r>
        <w:t xml:space="preserve"> </w:t>
      </w:r>
      <w:r>
        <w:t xml:space="preserve">- 🟡</w:t>
      </w:r>
      <w:r>
        <w:t xml:space="preserve"> </w:t>
      </w:r>
      <w:r>
        <w:rPr>
          <w:bCs/>
          <w:b/>
        </w:rPr>
        <w:t xml:space="preserve">Snippet</w:t>
      </w:r>
      <w:r>
        <w:t xml:space="preserve"> </w:t>
      </w:r>
      <w:r>
        <w:t xml:space="preserve">— o dado consta do resultado indexado da busca (título/resumo da própria fonte oficial); a URL permite conferência direta em um clique.</w:t>
      </w:r>
      <w:r>
        <w:t xml:space="preserve"> </w:t>
      </w:r>
      <w:r>
        <w:rPr>
          <w:iCs/>
          <w:i/>
        </w:rPr>
        <w:t xml:space="preserve">(A política de rede do ambiente de elaboração bloqueou a abertura direta das páginas; nenhum dado foi redigido sem constar do material indexado.)</w:t>
      </w:r>
      <w:r>
        <w:t xml:space="preserve"> </w:t>
      </w:r>
      <w:r>
        <w:t xml:space="preserve">- 📌</w:t>
      </w:r>
      <w:r>
        <w:t xml:space="preserve"> </w:t>
      </w:r>
      <w:r>
        <w:rPr>
          <w:bCs/>
          <w:b/>
        </w:rPr>
        <w:t xml:space="preserve">Premissa declarada</w:t>
      </w:r>
      <w:r>
        <w:t xml:space="preserve"> </w:t>
      </w:r>
      <w:r>
        <w:t xml:space="preserve">— parâmetro sem fonte pública, explicitamente rotulado como premissa no texto, com sensibilidade apresentada;</w:t>
      </w:r>
      <w:r>
        <w:t xml:space="preserve"> </w:t>
      </w:r>
      <w:r>
        <w:t xml:space="preserve">- 🔁</w:t>
      </w:r>
      <w:r>
        <w:t xml:space="preserve"> </w:t>
      </w:r>
      <w:r>
        <w:rPr>
          <w:bCs/>
          <w:b/>
        </w:rPr>
        <w:t xml:space="preserve">Corrigida na auditoria</w:t>
      </w:r>
      <w:r>
        <w:t xml:space="preserve"> </w:t>
      </w:r>
      <w:r>
        <w:t xml:space="preserve">— a afirmação original foi ajustada nesta revisão (detalhe na coluna Observação).</w:t>
      </w:r>
    </w:p>
    <w:bookmarkStart w:id="106" w:name="resultado-geral"/>
    <w:p>
      <w:pPr>
        <w:pStyle w:val="Heading2"/>
      </w:pPr>
      <w:r>
        <w:t xml:space="preserve">1. Resultado geral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Referências confirmadas (✅)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centrais: capacidades (proposta), populações Censo 2022, SINAPI-ES 06/2026, Sudene/LC 185, obras SM e Jaguaré, cimento nacional, indústria ES 1S2026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Referências em snippet (🟡)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majoritariamente cadastros de empresas (CNPJ/Econodata), notícias oficiais estaduais e diretórios — URLs conferíveis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Premissas declaradas (📌)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listadas na seção 3, todas com sensibilidade ou faixa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Afirmações corrigidas na auditoria (🔁)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listadas na seção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Referências reprovadas e removidas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(2 realocadas)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[22] deixou de apoiar</w:t>
            </w:r>
            <w:r>
              <w:t xml:space="preserve"> </w:t>
            </w:r>
            <w:r>
              <w:t xml:space="preserve">“</w:t>
            </w:r>
            <w:r>
              <w:t xml:space="preserve">crescimento setorial/orçamento MCMV</w:t>
            </w:r>
            <w:r>
              <w:t xml:space="preserve">”</w:t>
            </w:r>
            <w:r>
              <w:t xml:space="preserve"> </w:t>
            </w:r>
            <w:r>
              <w:t xml:space="preserve">e passou a apoiar apenas ordem de grandeza de CAPEX; [61] deixou de apoiar número e passou a contexto</w:t>
            </w:r>
          </w:p>
        </w:tc>
      </w:tr>
    </w:tbl>
    <w:bookmarkEnd w:id="106"/>
    <w:bookmarkStart w:id="107" w:name="X1c304199ff39e2e5340603106f512b99eba353b"/>
    <w:p>
      <w:pPr>
        <w:pStyle w:val="Heading2"/>
      </w:pPr>
      <w:r>
        <w:t xml:space="preserve">2. Verificação das 30 afirmações que o analista confere primeiro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Afirmação no estudo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XP350 produz 7.020 blocos 14/turno 8h (90%)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contratual Gervasi REV00, p.3 — anexo do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 de molde 15–20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p.2 (~15 min) e p.6 (até 20 min, bolsas de 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Paver H6 ≈530 m²/turno; ~74 m²/h derivado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✅/📌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dígitos comprimidos no PDF; derivação declarada no §3.3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Mateus 123.750 hab (Censo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[4][5]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IBGE via 2 veículos independentes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Venécia 49.065; Jaguaré 28.931; demais populações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 2022 (lista completa conferida)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Eixo SM–NV = 64–67 km (Miguel Curry Carneiro)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quilometragem + CEPs por trecho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Planta no km 35, entre Nova Verona (km 20–37) e Nestor Gomes (km 37+)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[2][3]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oficial de CEP por faixa de 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de fabricantes no km 28–35 (Pre Santos, EO Pereira, Blocos Gama, ITT, Megalaje)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[73][74][75][76][77]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cadastros/diretórios com endereço e CNPJ; conferível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fabricantes com Selo ABCP no ES, todos em Aracruz/Serra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[53][58][59][60]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do selo + sites dos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Fábrica prisional Linhares ~1.000 blocos/dia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notícia oficial SEJUS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Cerâmica ES ~50 milhões peças/mês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reportagem setorial ES Brasil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Cimento: 64,7 Mt vendas (+3,9%) e 64,8 Mt consumo (+4,1%) em 2024; 67 Mt em 2025 (+3,7%)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[18][19][20]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fontes independentes; redação distingue vendas × consumo aparente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 per capita ~280 kg/hab/ano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[138]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publicado (não mais derivação própria) — 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BlocoBrasil: capacidade ~100 mi blocos/mês (pesquisa mar/2013)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agora datada no texto — 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MCMV-ES: 18,06 mil UH contratadas 2023–25 (R$ 2,62 bi); ~3,8 mil concluídas/ano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[24][25]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Secom/Gov. Federal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Déficit habitacional São Mateus ~3 mil moradias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 Online (título literal)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Convênio SM: 26 ruas, R$ 7 mi, &gt;32 mil m², 10 km meio-fio, recursos SERD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[67][135]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reconfirmado em 2ª busca; detalhes oficiais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Jaguaré: 13 ruas em blocos, R$ 4,3 mi (Fundo Cidades), pacote R$ 23 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reconfirmado em 2ª busca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SEAG fornece blocos e meios-fios no Calçamento Rural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[136]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oficial do programa — achado da 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Caminhos do Campo: +476 km anunciados; R$ 257,4 mi no biênio (reportagem)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[137][72]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476 km em página SEAG; 257,4 mi atribuído à reportagem no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Gabriel da Palha R$ 4,1 mi em blocos; Boa Esperança 22,9 mil 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[70][71]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notícias oficiais estaduais/municipais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Indústria ES +20,2% (1S2026, PIM-PF/IBGE; BR +1,5%)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[40][131]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período agora explícito — 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Seacrest: US$ 699 mi investidos; ~R$ 1 bi/ano; meta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[38][39]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imprensa regional/econômica com números consistentes entre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Marcopolo São Mateus: R$ 260 mi, +500 empregos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Dia ES/A Gazeta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FNE 2026: R$ 52,6 bi; ES R$ 1,3 bi; indústria prioritária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[123][124][125]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Sudene + BNB oficiais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Sudene inclui 31 municípios do ES (LC 185/2021), todos os 9 da área de influência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[132][133][130]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IBGE + legislação — 🔁 (era</w:t>
            </w:r>
            <w:r>
              <w:t xml:space="preserve"> </w:t>
            </w:r>
            <w:r>
              <w:t xml:space="preserve">“</w:t>
            </w:r>
            <w:r>
              <w:t xml:space="preserve">28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SINAPI-ES 06/2026: bloco 14 estrutural fbk6 R$ 4,80 … paver e=6 R$ 69,97–88,39/m²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oficial Caixa (SINAPI-ES, ref. 06/2026, sem desoneração) processada localmente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Cimento a granel R$ 350–550/t (nacional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indicativa; estudo manda cotar localmente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EDP-ES +15,53% (2025/26); subestação simplificada até 300 kVA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[14][15][13]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ANEEL (notícia + REH 3.508) e norma EDP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Mortalidade da ind. de transformação: 27,3% em 5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[126][127]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Sebrae/Agência Brasil</w:t>
            </w:r>
          </w:p>
        </w:tc>
      </w:tr>
    </w:tbl>
    <w:bookmarkEnd w:id="107"/>
    <w:bookmarkStart w:id="108" w:name="Xb279f5d0e9c278b08d2eaae7d6119f07c5a663b"/>
    <w:p>
      <w:pPr>
        <w:pStyle w:val="Heading2"/>
      </w:pPr>
      <w:r>
        <w:t xml:space="preserve">3. Premissas técnicas declaradas (sem fonte pública — rotuladas no texto)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adotado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Sensibilidade/justificativa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Fração do cimento destinada a artefatos vibroprensados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8–15% (central 12%)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varia 3,4–6,4 mi blocos-eq; método é só validação cruzada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 Método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Novas UH/ano na área de influência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700–1.000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 de crescimento censitário + MCMV + déficit + loteamentos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 Método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Blocos por 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2.200–3.000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 blocos/m² [90] × paredes de casa 50–70 m² + muros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 / Apêndice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Anualização do pipeline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pacotes ÷ 2–3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 dupla contagem; obras sem data ficam fora da soma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 / §8.1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Consumo de cimento por bloco 14 vedação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 de mercado ~1,05 [17]; vibrocompactação economiza até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Preços-alvo de venda GTK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§6.4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10–25% abaixo da mediana SINAPI-ES; validar com 5 cotações locais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 média do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derivada: 36,5% (planilha, aba Mix); adotado valor menor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Custos fixos mensais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R$ 52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decomposição item a item no §13.3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Serviço da dívida FNE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~R$ 60 mil/mês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 ~R$ 5 mi/10 anos pós-carência; substituir pela simulação BNB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§13.4</w:t>
            </w:r>
          </w:p>
        </w:tc>
      </w:tr>
    </w:tbl>
    <w:bookmarkEnd w:id="108"/>
    <w:bookmarkStart w:id="109" w:name="X5bb87ff09c69dc4263bd2fa3b262fbd62e809ae"/>
    <w:p>
      <w:pPr>
        <w:pStyle w:val="Heading2"/>
      </w:pPr>
      <w:r>
        <w:t xml:space="preserve">4. Correções aplicadas nesta auditoria (transparência total)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Base única de receita</w:t>
      </w:r>
      <w:r>
        <w:t xml:space="preserve">: as tabelas §5.4 e §13.4 usavam bases divergentes; ambas agora derivam da receita plena de R$ 7,24 mi (mix na planilha/Apêndice A). Receitas por cenário recalculadas (ex.: 60% = R$ 4,3 mi, antes</w:t>
      </w:r>
      <w:r>
        <w:t xml:space="preserve"> </w:t>
      </w:r>
      <w:r>
        <w:t xml:space="preserve">“</w:t>
      </w:r>
      <w:r>
        <w:t xml:space="preserve">4,6</w:t>
      </w:r>
      <w:r>
        <w:t xml:space="preserve">”</w:t>
      </w:r>
      <w:r>
        <w:t xml:space="preserve">; 95% = R$ 6,9 mi, antes</w:t>
      </w:r>
      <w:r>
        <w:t xml:space="preserve"> </w:t>
      </w:r>
      <w:r>
        <w:t xml:space="preserve">“</w:t>
      </w:r>
      <w:r>
        <w:t xml:space="preserve">7,0</w:t>
      </w:r>
      <w:r>
        <w:t xml:space="preserve">”</w:t>
      </w:r>
      <w:r>
        <w:t xml:space="preserve">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Ponto de equilíbrio operacional</w:t>
      </w:r>
      <w:r>
        <w:t xml:space="preserve">: de</w:t>
      </w:r>
      <w:r>
        <w:t xml:space="preserve"> </w:t>
      </w:r>
      <w:r>
        <w:t xml:space="preserve">“</w:t>
      </w:r>
      <w:r>
        <w:t xml:space="preserve">≈29%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≈25% da capacidade de 1 turno</w:t>
      </w:r>
      <w:r>
        <w:t xml:space="preserve"> </w:t>
      </w:r>
      <w:r>
        <w:t xml:space="preserve">(R$ 149 mil/mês ÷ R$ 7,24 mi ÷ 12 = 24,6%).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Equilíbrio com dívida</w:t>
      </w:r>
      <w:r>
        <w:t xml:space="preserve">: consolidado em</w:t>
      </w:r>
      <w:r>
        <w:t xml:space="preserve"> </w:t>
      </w:r>
      <w:r>
        <w:rPr>
          <w:bCs/>
          <w:b/>
        </w:rPr>
        <w:t xml:space="preserve">R$ 320 mil/mês ≈ 53%</w:t>
      </w:r>
      <w:r>
        <w:t xml:space="preserve"> </w:t>
      </w:r>
      <w:r>
        <w:t xml:space="preserve">(SAC ~R$ 60 mil/mês pós-carência).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EBITDA de regime</w:t>
      </w:r>
      <w:r>
        <w:t xml:space="preserve">: de</w:t>
      </w:r>
      <w:r>
        <w:t xml:space="preserve"> </w:t>
      </w:r>
      <w:r>
        <w:t xml:space="preserve">“</w:t>
      </w:r>
      <w:r>
        <w:t xml:space="preserve">R$ 1,3–1,5 mi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R$ 1,3–1,4 mi</w:t>
      </w:r>
      <w:r>
        <w:t xml:space="preserve"> </w:t>
      </w:r>
      <w:r>
        <w:t xml:space="preserve">(75–80% × 7,24 × 35% − 0,62).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Shares do SAM</w:t>
      </w:r>
      <w:r>
        <w:t xml:space="preserve">: ano 1 de</w:t>
      </w:r>
      <w:r>
        <w:t xml:space="preserve"> </w:t>
      </w:r>
      <w:r>
        <w:t xml:space="preserve">“</w:t>
      </w:r>
      <w:r>
        <w:t xml:space="preserve">13–19%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12–20%</w:t>
      </w:r>
      <w:r>
        <w:t xml:space="preserve">; anos 1–2</w:t>
      </w:r>
      <w:r>
        <w:t xml:space="preserve"> </w:t>
      </w:r>
      <w:r>
        <w:t xml:space="preserve">“</w:t>
      </w:r>
      <w:r>
        <w:t xml:space="preserve">13–28%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12–27%</w:t>
      </w:r>
      <w:r>
        <w:t xml:space="preserve">; regime</w:t>
      </w:r>
      <w:r>
        <w:t xml:space="preserve"> </w:t>
      </w:r>
      <w:r>
        <w:t xml:space="preserve">“</w:t>
      </w:r>
      <w:r>
        <w:t xml:space="preserve">25–36%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22–36%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Física do frete</w:t>
      </w:r>
      <w:r>
        <w:t xml:space="preserve">: truck de 13–14 t carrega ~1.090–1.180 blocos (não 1.700–2.000); frete/bloco no 1º anel R$ 0,36–0,49 e da Grande Vitória R$ 1,30–1,90 (carreta) — vantagem de 3–5×, antes superestimada.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Sudene</w:t>
      </w:r>
      <w:r>
        <w:t xml:space="preserve">: de</w:t>
      </w:r>
      <w:r>
        <w:t xml:space="preserve"> </w:t>
      </w:r>
      <w:r>
        <w:t xml:space="preserve">“</w:t>
      </w:r>
      <w:r>
        <w:t xml:space="preserve">28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31 municípios do ES (LC nº 185/2021)</w:t>
      </w:r>
      <w:r>
        <w:t xml:space="preserve">, com fonte legal e lista incluindo os 9 municípios da área de influência.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Consumo per capita de cimento</w:t>
      </w:r>
      <w:r>
        <w:t xml:space="preserve">: substituída derivação própria (~318 kg) pelo número publicado (</w:t>
      </w:r>
      <w:r>
        <w:rPr>
          <w:bCs/>
          <w:b/>
        </w:rPr>
        <w:t xml:space="preserve">~280 kg/hab/ano</w:t>
      </w:r>
      <w:r>
        <w:t xml:space="preserve">), reduzindo o Método A para 42,8 mil t/ano na área.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Método A</w:t>
      </w:r>
      <w:r>
        <w:t xml:space="preserve"> </w:t>
      </w:r>
      <w:r>
        <w:t xml:space="preserve">reclassificado como validação cruzada com premissa declarada (8–15%) — antes o percentual aparecia apoiado em referência que não o publica.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BlocoBrasil</w:t>
      </w:r>
      <w:r>
        <w:t xml:space="preserve"> </w:t>
      </w:r>
      <w:r>
        <w:t xml:space="preserve">datada (pesquisa de março/2013) e tratada como referência histórica.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Indústria ES +20,2%</w:t>
      </w:r>
      <w:r>
        <w:t xml:space="preserve"> </w:t>
      </w:r>
      <w:r>
        <w:t xml:space="preserve">com período e pesquisa explícitos (1S2026, PIM-PF/IBGE) e segunda fonte.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Custo variável</w:t>
      </w:r>
      <w:r>
        <w:t xml:space="preserve">: padronizado R$ 1,85 industrial / R$ 2,28 total (o</w:t>
      </w:r>
      <w:r>
        <w:t xml:space="preserve"> </w:t>
      </w:r>
      <w:r>
        <w:t xml:space="preserve">“</w:t>
      </w:r>
      <w:r>
        <w:t xml:space="preserve">R$ 1,90</w:t>
      </w:r>
      <w:r>
        <w:t xml:space="preserve">”</w:t>
      </w:r>
      <w:r>
        <w:t xml:space="preserve"> </w:t>
      </w:r>
      <w:r>
        <w:t xml:space="preserve">remanescente é meta operacional, rotulada como meta); obras de Pedro Canário/Pinheiros marcadas como histórico fora da soma anual; citação [22] realocada para custo de implantação; MCMV 8–11 mi blocos/ano qualificado como teto de premissa.</w:t>
      </w:r>
    </w:p>
    <w:bookmarkEnd w:id="109"/>
    <w:bookmarkStart w:id="110" w:name="numeração-completa-das-referências"/>
    <w:p>
      <w:pPr>
        <w:pStyle w:val="Heading2"/>
      </w:pPr>
      <w:r>
        <w:t xml:space="preserve">5. Numeração completa das referências</w:t>
      </w:r>
    </w:p>
    <w:p>
      <w:pPr>
        <w:pStyle w:val="FirstParagraph"/>
      </w:pPr>
      <w:r>
        <w:t xml:space="preserve">A lista integral com instituição, descrição e URL de cada uma das 138 referências está em</w:t>
      </w:r>
      <w:r>
        <w:t xml:space="preserve"> </w:t>
      </w:r>
      <w:r>
        <w:rPr>
          <w:rStyle w:val="VerbatimChar"/>
        </w:rPr>
        <w:t xml:space="preserve">fontes.md</w:t>
      </w:r>
      <w:r>
        <w:t xml:space="preserve"> </w:t>
      </w:r>
      <w:r>
        <w:t xml:space="preserve">e na seção 16 do estudo. Nesta auditoria,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foram checadas quanto a: (i) a afirmação do texto corresponder ao conteúdo indexado da fonte; (ii) especificidade da URL (página do dado, não domínio genérico); (iii) uso não decorativo (cada citação alimenta uma conclusão, premissa ou mitigador). As duas únicas citações cuja função mudou ([22] e [61]) estão descritas na seção 1.</w:t>
      </w:r>
    </w:p>
    <w:bookmarkEnd w:id="110"/>
    <w:bookmarkStart w:id="111" w:name="Xb14af6cce8024fa41c36724a61f03bcf5c391a7"/>
    <w:p>
      <w:pPr>
        <w:pStyle w:val="Heading2"/>
      </w:pPr>
      <w:r>
        <w:t xml:space="preserve">6. Limitações remanescentes (para diligência da implantação)</w:t>
      </w:r>
    </w:p>
    <w:p>
      <w:pPr>
        <w:numPr>
          <w:ilvl w:val="0"/>
          <w:numId w:val="1032"/>
        </w:numPr>
        <w:pStyle w:val="Compact"/>
      </w:pPr>
      <w:r>
        <w:t xml:space="preserve">Preços locais de venda e de insumos: calibrar com 5 cotações telefônicas (contatos no cap. 6/7) — os valores atuais são tabelas referenciais oficiais + faixas nacionais.</w:t>
      </w:r>
    </w:p>
    <w:p>
      <w:pPr>
        <w:numPr>
          <w:ilvl w:val="0"/>
          <w:numId w:val="1032"/>
        </w:numPr>
        <w:pStyle w:val="Compact"/>
      </w:pPr>
      <w:r>
        <w:t xml:space="preserve">Valores dos editais CE 001/2025 e CE 005/2025 de São Mateus: consultar PNCP/portal de transparência municipal.</w:t>
      </w:r>
    </w:p>
    <w:p>
      <w:pPr>
        <w:numPr>
          <w:ilvl w:val="0"/>
          <w:numId w:val="1032"/>
        </w:numPr>
        <w:pStyle w:val="Compact"/>
      </w:pPr>
      <w:r>
        <w:t xml:space="preserve">Datas das obras de Pedro Canário e Pinheiros: confirmar em diligência (já fora da soma de demanda).</w:t>
      </w:r>
    </w:p>
    <w:p>
      <w:pPr>
        <w:numPr>
          <w:ilvl w:val="0"/>
          <w:numId w:val="1032"/>
        </w:numPr>
        <w:pStyle w:val="Compact"/>
      </w:pPr>
      <w:r>
        <w:t xml:space="preserve">Confirmar por telefone a venda a granel da Mizu Vitória e o frete até a planta.</w:t>
      </w:r>
    </w:p>
    <w:p>
      <w:pPr>
        <w:numPr>
          <w:ilvl w:val="0"/>
          <w:numId w:val="1032"/>
        </w:numPr>
        <w:pStyle w:val="Compact"/>
      </w:pPr>
      <w:r>
        <w:t xml:space="preserve">As fórmulas da planilha calculam ao abrir no Excel/Google Sheets; o recálculo automatizado do ambiente de elaboração estava indisponível — todos os resultados foram conferidos por recomputação independente em Python (Apêndice A).</w:t>
      </w:r>
    </w:p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2026-08-16T15:05:03Z</dcterms:created>
  <dcterms:modified xsi:type="dcterms:W3CDTF">2026-08-16T15:05:03Z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