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Corredor de Nestor Gomes (km 13–41) — proximidade imediata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12,3 km (medida) × MCL ~47 km (derivada de trechos medidos)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Gomes: é onde a CIPREM produz mais perto que qualquer concorrente — de qualquer porte, uma vez medida a Usibrita — e onde estão o grosso da demanda e as obras. A vantagem sobre o concorrente de volume mais próximo (Mattar, 66,8 km) é de R$ 23,8/t na sede, chegando a R$ 31,7/t contra a MCL (75,5 km); mesmo contra o produtor mais próximo de todos, a Usibrita (57,1 km), a margem é de R$ 14,9/t. No corredor, a vantagem é de R$ 31,7/t, e o que o distingue não é vantagem maior — é a mesma da sede — e sim o custo próprio de servi-lo: 12,3 km equivalem a R$ 11,2/t de frete, contra R$ 37,0/t até a sede.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de 450–520 mil t da pavimentação remanescente de Guriri, do qual as projeções incorporam apenas 75–90 mil t; (iii) vantagem logística estrutural e medida em roteirizador — R$ 23,8/t sobre o concorrente de volume mais próximo na sede, R$ 31,7/t sobre a MCL e R$ 31,7/t no corredor de Nestor Gomes,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medidos. A régua do item 4 passa a repousar inteiramente em distância medida ou derivada de trechos medidos. Seguem pendentes, para refino e não para o argumento, o pino exato da boca da lavra (marcar no local), a poligonal ANM no SIGMINE e a medição direta de MCL → Nestor Gomes, hoje derivada da geometria dos trechos medidos.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