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color w:val="000000"/>
        </w:rPr>
        <w:t>Em vermelho, os trechos alterados nesta revisão — por correção de dado verificado em fonte pública, por ajuste ao mercado-base conservador do Estudo de Mercado anexo ou, nesta segunda rodada (agosto/2026), pela adoção do platô de 237.516 t/ano e pela leitura da participação contra o mercado endereçável.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color w:val="000000"/>
        </w:rPr>
        <w:t xml:space="preserve">São Mateus é o município-polo e o mais populoso da Microrregião Nordeste do Espírito Santo (regionalização estadual da Lei nº 9.768/2011), com 134,4 mil habitantes — IBGE, estimativa 2025; 8º do Estado — e polo regional de comércio e serviços. O setor tem natureza essencialmente local: pelo baixo valor por tonelada, o raio econômico de comercialização raramente ultrapassa algumas dezenas de quilômetros, e excepcionalmente 150 km entre a fonte e o consumidor. Por isso, o mercado-base do empreendimento — definido pelo raio econômico do frete e pela posição real dos concorrentes — foi delimitado por dois critérios cumulativos: </w:t>
      </w:r>
      <w:r>
        <w:rPr>
          <w:color w:val="C00000"/>
        </w:rPr>
        <w:t>ausência de produtor de brita instalado e posição dentro do raio econômico do frete. Satisfazem ambos São Mateus, Conceição da Barra e Boa Esperança, que somam 177.400 habitantes (IBGE, estimativas 2025).</w:t>
      </w:r>
    </w:p>
    <w:p>
      <w:pPr>
        <w:spacing w:after="180" w:line="276"/>
        <w:jc w:val="both"/>
      </w:pPr>
      <w:r>
        <w:rPr>
          <w:color w:val="000000"/>
        </w:rPr>
        <w:t xml:space="preserve">A demanda corrente nesse mercado-base é estimada </w:t>
      </w:r>
      <w:r>
        <w:rPr>
          <w:color w:val="C00000"/>
        </w:rPr>
        <w:t xml:space="preserve">em cerca de 296 mil toneladas/ano. A estimativa aplica diretamente à população da área (177.400 hab — São Mateus, Conceição da Barra e Boa Esperança) o índice de consumo aparente de brita no Espírito Santo — 1,669 t/hab/ano, resultado exato de 6.888.010,58 t ÷ 4.126.854 hab, consumo e população do mesmo ano de 2025 — </w:t>
      </w:r>
      <w:r>
        <w:rPr>
          <w:color w:val="000000"/>
        </w:rPr>
        <w:t>elaboração própria a partir das vendas declaradas à ANM no Relatório Anual de Lavra (RAL), convergente com o parâmetro setorial da ANEPAC para o Sudeste</w:t>
      </w:r>
      <w:r>
        <w:rPr>
          <w:color w:val="C00000"/>
        </w:rPr>
        <w:t>. Piso de robustez: aplicando metade do índice a Conceição da Barra e a Boa Esperança, municípios de perfil rural-litorâneo, a estimativa recua a ~260 mil t/ano — ainda acima do platô do projeto</w:t>
      </w:r>
      <w:r>
        <w:rPr>
          <w:color w:val="000000"/>
        </w:rPr>
        <w:t>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color w:val="000000"/>
        </w:rPr>
        <w:t xml:space="preserve">A praça vizinha de Jaguaré (31,6 mil habitantes; </w:t>
      </w:r>
      <w:r>
        <w:rPr>
          <w:color w:val="C00000"/>
        </w:rPr>
        <w:t>26–53 mil t/ano pela mesma métrica, de metade a pleno do índice</w:t>
      </w:r>
      <w:r>
        <w:rPr>
          <w:color w:val="000000"/>
        </w:rPr>
        <w:t>) foi mantida fora da linha de base por ter produtor instalado</w:t>
      </w:r>
      <w:r>
        <w:rPr>
          <w:color w:val="C00000"/>
        </w:rPr>
        <w:t xml:space="preserve"> — a distância medida de 39,6 km encerra a hipótese de encurtamento pela ES-356 —</w:t>
      </w:r>
      <w:r>
        <w:rPr>
          <w:color w:val="000000"/>
        </w:rPr>
        <w:t xml:space="preserve"> e permanece, ao lado de Pedro Canário e 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color w:val="C00000"/>
        </w:rPr>
        <w:t>, em Conceição da Barra nem em Boa Esperança</w:t>
      </w:r>
      <w:r>
        <w:rPr>
          <w:color w:val="000000"/>
        </w:rPr>
        <w:t>. Em São Mateus, a presença concorrente é de natureza logístico-comercial: a Pedreira Mattar, sediada em Pinheiros (</w:t>
      </w:r>
      <w:r>
        <w:rPr>
          <w:color w:val="C00000"/>
        </w:rPr>
        <w:t>66,8 km</w:t>
      </w:r>
      <w:r>
        <w:rPr>
          <w:color w:val="000000"/>
        </w:rPr>
        <w:t>), mantém filial no município com CNAE de beneficiamento, sem atividade de extração associada — a extração, naquele município, corre pela Mattar Empreendimentos Minerários. A operação de britagem mais próxima é a Mineração Usibrita, em Jaguaré (</w:t>
      </w:r>
      <w:r>
        <w:rPr>
          <w:color w:val="C00000"/>
        </w:rPr>
        <w:t>57,1 km da sede, medidos a partir da coordenada da cava</w:t>
      </w:r>
      <w:r>
        <w:rPr>
          <w:color w:val="000000"/>
        </w:rPr>
        <w:t xml:space="preserve">), ainda em escala reduzida e situada fora do mercado-base. Cabe distinguir duas funções que a redação anterior tratava como uma só: a Usibrita é </w:t>
      </w:r>
      <w:r>
        <w:rPr>
          <w:color w:val="C00000"/>
        </w:rPr>
        <w:t>o produtor mais próximo de São Mateus e serve de referência de preço na praça, mas nem nisso alcança a CIPREM — chega à sede de 57,1 km contra 40,7 km, R$ 14,9 por tonelada atrás no frete</w:t>
      </w:r>
      <w:r>
        <w:rPr>
          <w:color w:val="000000"/>
        </w:rPr>
        <w:t xml:space="preserve"> —, e vendeu ~5 mil t em 2025, menos de um quinto da demanda do próprio município onde se instala, e não tem escala para disputar volume. Quem limita volume são </w:t>
      </w:r>
      <w:r>
        <w:rPr>
          <w:color w:val="C00000"/>
        </w:rPr>
        <w:t>os produtores de porte: a pedreira de Pinheiros, a 66,8 km, contra a qual a vantagem de frete da CIPREM é de R$ 23,8 por tonelada, e a MCL, em Nova Venécia, a 75,5 km, contra a qual chega a R$ 31,7 — da ordem de um quarto a um terço do preço posto na obra</w:t>
      </w:r>
      <w:r>
        <w:rPr>
          <w:color w:val="000000"/>
        </w:rPr>
        <w:t xml:space="preserve">. Os produtores de porte operam a partir de </w:t>
      </w:r>
      <w:r>
        <w:rPr>
          <w:color w:val="C00000"/>
        </w:rPr>
        <w:t>66,8 km — Pinheiros e Nova Venécia —</w:t>
      </w:r>
      <w:r>
        <w:rPr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color w:val="C00000"/>
        </w:rPr>
        <w:t>40,7 km</w:t>
      </w:r>
      <w:r>
        <w:rPr>
          <w:color w:val="000000"/>
        </w:rPr>
        <w:t xml:space="preserve"> da sede de São Mateus, e o </w:t>
      </w:r>
      <w:r>
        <w:rPr>
          <w:color w:val="C00000"/>
        </w:rPr>
        <w:t>distrito-sede de Nestor Gomes, no corredor que a serve, a 12,3 km, onde a vantagem de frete alcança R$ 31,7/t e o custo de servir cai a R$ 11,2/t</w:t>
      </w:r>
      <w:r>
        <w:rPr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(R$ 190,2 milhões — contrato original de R$ 164,2 milhões acrescido de dois termos aditivos —, 24,6 km e três pontes,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Essas frentes adicionam 70–100 mil t/ano de demanda extraordinária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é dimensionada no Estudo anexo em 350 a 400 mil m² de pavimento — da ordem de 500 mil toneladas de agregados ao longo dos próximos anos —, das quais as projeções contabilizam, conservadoramente, apenas 75 a 90 mil t de brita da pavimentação remanescente.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color w:val="C00000"/>
        </w:rPr>
        <w:t>Em síntese, sob a definição adotada de mercado — os três municípios sem produtor instalado e dentro do raio econômico do frete: São Mateus, Conceição da Barra e Boa Esperança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— 90% do teto licenciado e 40% da capacidade instalada da planta — representa 41 a 56%, e não os 80 a 91% que a leitura restrita ao mercado-base sugeriria. Pela via de baixo para cima, aplicando pesos de penetração praça a praça, a captura resulta em 207 a 245 mil t/ano, faixa na qual o platô se posiciona a 81%; a condição dessa conta deve ser dita com clareza: a sede sozinha não sustenta o platô, e a diferença vem das praças vizinhas, onde a CIPREM só entra entregando com frota própria. Às obras cabe ainda outro papel: coincidem com a carência e o ramp-up (anos 1–2, vendas de 63 a 126 mil t/ano), absorvendo a produção inicial justamente no período de maturação comercial. Mercado estruturalmente deficitário — sem produtor instalado na base, com o grosso do suprimento viajando de 66,8 a 140 km —,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Reintroduzidos no corpo da carta, a pedido do cliente (3ª rodada), o cálculo exato "6.888.010,58 t ÷ 4.126.854 hab = 1,669 t/hab/ano" e a fonte (painel Power BI do AMB/ANM).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Consumo e população referem-se ao mesmo ano de 2025, o que torna o produto direto índice × população o número mais defensável. A demanda do mercado-base passa a ser ≈ 273 mil t/ano (163.346 hab), com piso de robustez de ~249 mil t/ano (metade do índice em Conceição da Barra). A faixa 1,6–1,7 deixou de ser usada no corpo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Substituídas pela estimativa de ≈ 296 mil t/ano do mercado-base de três municípios (índice exato 1,669 × 177.400 hab; piso prudente ~260 mil).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O texto anterior trazia três números divergentes para a mesma grandeza (220, 285 e 275–350 mil t/ano). O valor novo é o do Estudo anexo e decorre do recorte por dois critérios cumulativos — sem produtor instalado e dentro do raio econômico do frete — e do índice de 2025.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Reduzido ao mercado-base de São Mateus, Conceição da Barra e Boa Esperança (177.400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Jaguaré tem produtor instalado, e por isso segue fora da base. Boa Esperança, medida em 27,9 km pela Rod. Willes Jantorno, está em paridade de frete (−R$ 5,1/t) como Conceição da Barra (−R$ 5,2/t) e passou a integrar o mercado-base; a mudança não altera o mercado endereçável nem a captura, pois a praça já era contada como camada disputada.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Contorno ES-318: atualização do valor contratado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Valor atualizado para R$ 190,2 milhões, explicitando a composição: contrato de 2021 de R$ 164,2 milhões mais dois termos aditivos de R$ 26,0 milhões (+15,8%).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Os R$ 164 milhões repetidos nas comunicações oficiais do DER-ES são o valor original de 2021 e subestimam o contrato vigente, elevado por dois aditivos (Construtora Ápia S.A., regime RDC Integrado). Extensão e número de pontes ficam como na minuta original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Guriri: "1 milhão de m² de vias e mais de 1 milhão de toneladas"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Ajustado para 350 a 400 mil m² e da ordem de 500 mil toneladas de agregados.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número anterior contradizia o próprio Estudo de Mercado anexo, que dimensiona a malha principal do balneário em 350–400 mil m². As 75–90 mil t contabilizadas nas projeções permanecem inalteradas.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Platô de produção do projeto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Elevado de 216.000 para 237.516 t/ano (90% do teto licenciado) e antecipado do ano 4 para o ano 3.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No motor oficial do BNB, o platô anterior dava 51,0% de comprometimento e NÃO passava na janela de 30–50%; o novo dá 44,6% e passa, com máximo financiável de R$ 26,40 mi contra o pleito de R$ 24,29 mi. O gargalo é o ano 3, não o nível do platô.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mercado do platô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Lida contra o mercado endereçável (421–577 mil t/ano): 41–56%, em vez da leitura restrita à linha de base (80–91%).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Participação da ordem de 90% para um entrante não se sustenta em análise. O mercado endereçável soma as praças alcançáveis por CIF e as obras, que estavam fora da conta anterior.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Concorrente de preço × concorrente de volume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Separadas as duas funções: a Usibrita é o produtor mais próximo e referência de preço, mas fica R$ 14,9/t atrás da CIPREM no frete (57,1 km contra 40,7) e não tem escala; os produtores de porte definem volume (R$ 23,8/t de vantagem sobre Pinheiros, R$ 31,7/t sobre Nova Venécia).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Tratá-las como um só concorrente subestimava a posição da CIPREM; a Usibrita vendeu ~5 mil t em 2025, menos de um quinto da demanda do município onde opera.</w:t>
            </w:r>
          </w:p>
        </w:tc>
      </w:tr>
    </w:tbl>
    <w:p>
      <w:pPr>
        <w:spacing w:before="200"/>
      </w:pPr>
      <w:r>
        <w:rPr>
          <w:color w:val="000000"/>
        </w:rPr>
        <w:t xml:space="preserve">Pendência para o Estudo de Mercado anexo: </w:t>
      </w:r>
      <w:r>
        <w:rPr>
          <w:color w:val="C00000"/>
        </w:rPr>
        <w:t>harmonizada nesta rodada — o Estudo v4 já adota R$ 190,2 milhões para o Contorno da ES-318, ~100 km para Rio Bananal e a 8ª posição populacional de São Mateus. Permanecem em aberto, agora no Estudo: o rendimento de britagem (desmonte → produto vendável) e as condicionantes de horário de operação da licença.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