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139–223 mil t/ano de demanda de produtos de britagem durante a janela de obras — fração derivada das composições de cada frente, e não do coeficiente nacional de 42% que a versão anterior aplicava — e destravam um potencial estrutural maior: a malha planejada de Guriri (11 avenidas e 31 ruas ao longo de ~8 km) permanece majoritariamente sem pavimentação definitiva, e sua pavimentação completa, viabilizada justamente pela macrodrenagem em curso, foi levantada sobre as plantas dos 21 loteamentos e auditada em 637 pontos verificados um a um em campo virtual (517 em Street View e 120 em satélite), todos listados individualmente com coordenada e data de imagem: 193,4 km em 437 vias, das quais apenas 26,6% pavimentadas. Faltam 1.216.547 m² de pista — área pela caixa de via de cada planta — e 554.203 m² de calçada — 874–1.144 mil t de agregados, dos quais 751–951 mil t de produtos de britagem, pela banda composicional das tabelas oficiais DER-ES/SINAPI (memória anexa; 704–892 mil t pelo piso de largura declarado) —, espalhados por cerca de uma década pela própria lógica construtiva (pavimenta-se depois de drenar, bacia a bacia; a Bacia 1 corre por 1.620 dias), estoque do qual as projeções de receita NÃO contabilizam nenhuma tonelada, e ao qual esta carta deliberadamente não atribui volume anual nem prazo — o ritmo depende de decisão orçamentária do Estado e do Município; o que se afirma é a existência e a magnitude, equivalentes a 3,2 a 4,0 anos de produção integral da unidade no platô — e as Bacias 1 e 2 cobrem só 20,5% da pista que falta, restando 43 anos de pavimentação ao ritmo contratual do Estado (22 anos com duas bacias simultâneas), contra os 14 anos do financiamento.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(139–223 mil t/ano): 489–701 mil t/ano. Contra essa base, o platô de 237.516 t/ano representa 34% a 49%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248–319 mil t/ano — faixa cujo PISO já supera o platô de 237.516 t/ano, de modo que a restrição do projeto passa a ser de capacidade de produção, e não de mercado.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