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8"/>
        </w:rPr>
        <w:t>MEMÓRIA DE CÁLCULO — DEMANDA DAS GRANDES OBRAS E POTENCIAL DE PAVIMENTAÇÃO DE GURIRI</w:t>
      </w:r>
    </w:p>
    <w:p>
      <w:pPr>
        <w:spacing w:after="120"/>
      </w:pPr>
      <w:r>
        <w:rPr>
          <w:b w:val="0"/>
          <w:i/>
          <w:color w:val="595959"/>
          <w:sz w:val="18"/>
        </w:rPr>
        <w:t>CIPREM Cimento e Premoldados Ltda ME · São Mateus/ES · agosto/2026 · acompanha o Estudo de Mercado v4 (itens 6.3 e 7.2) e a Carta Consulta (seção 3)</w:t>
      </w:r>
    </w:p>
    <w:p>
      <w:pPr>
        <w:spacing w:after="120" w:before="200"/>
      </w:pPr>
      <w:r>
        <w:rPr>
          <w:b/>
          <w:i w:val="0"/>
          <w:sz w:val="26"/>
        </w:rPr>
        <w:t>0. Método, fatores e selos de qualidade</w:t>
      </w:r>
    </w:p>
    <w:p>
      <w:pPr>
        <w:spacing w:after="120"/>
      </w:pPr>
      <w:r>
        <w:rPr>
          <w:b w:val="0"/>
          <w:i w:val="0"/>
        </w:rPr>
        <w:t>Cada número do parágrafo de obras da Carta Consulta é decomposto abaixo em: fonte primária, coeficiente aplicado, conta aritmética e um selo de qualidade. Os selos são três:</w:t>
      </w:r>
    </w:p>
    <w:p>
      <w:pPr>
        <w:spacing w:after="120"/>
      </w:pPr>
      <w:r>
        <w:rPr>
          <w:b w:val="0"/>
          <w:i w:val="0"/>
          <w:sz w:val="19"/>
        </w:rPr>
        <w:t>DOCUMENTAL — quantidade publicada em edital, contrato ou comunicação oficial (km, m², R$, prazo). · COEFICIENTE — fator setorial declarado, aplicado a uma quantidade documental. · PREMISSA — hipótese nossa, declarada e testável, usada onde não há quantidade publicada.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Fator</w:t>
            </w:r>
          </w:p>
        </w:tc>
        <w:tc>
          <w:tcPr>
            <w:tcW w:type="dxa" w:w="2880"/>
          </w:tcPr>
          <w:p>
            <w:r>
              <w:rPr>
                <w:b/>
                <w:sz w:val="18"/>
              </w:rPr>
              <w:t>Valor</w:t>
            </w:r>
          </w:p>
        </w:tc>
        <w:tc>
          <w:tcPr>
            <w:tcW w:type="dxa" w:w="2880"/>
          </w:tcPr>
          <w:p>
            <w:r>
              <w:rPr>
                <w:b/>
                <w:sz w:val="18"/>
              </w:rPr>
              <w:t>Fonte e uso</w:t>
            </w:r>
          </w:p>
        </w:tc>
      </w:tr>
      <w:tr>
        <w:tc>
          <w:tcPr>
            <w:tcW w:type="dxa" w:w="2880"/>
          </w:tcPr>
          <w:p>
            <w:r>
              <w:rPr>
                <w:sz w:val="18"/>
              </w:rPr>
              <w:t>Agregados por km de rodovia nova (2 faixas)</w:t>
            </w:r>
          </w:p>
        </w:tc>
        <w:tc>
          <w:tcPr>
            <w:tcW w:type="dxa" w:w="2880"/>
          </w:tcPr>
          <w:p>
            <w:r>
              <w:rPr>
                <w:sz w:val="18"/>
              </w:rPr>
              <w:t>9.800 t/km</w:t>
            </w:r>
          </w:p>
        </w:tc>
        <w:tc>
          <w:tcPr>
            <w:tcW w:type="dxa" w:w="2880"/>
          </w:tcPr>
          <w:p>
            <w:r>
              <w:rPr>
                <w:sz w:val="18"/>
              </w:rPr>
              <w:t>ANEPAC, fator de engenharia; aplicado a km documentais</w:t>
            </w:r>
          </w:p>
        </w:tc>
      </w:tr>
      <w:tr>
        <w:tc>
          <w:tcPr>
            <w:tcW w:type="dxa" w:w="2880"/>
          </w:tcPr>
          <w:p>
            <w:r>
              <w:rPr>
                <w:sz w:val="18"/>
              </w:rPr>
              <w:t>Agregados por m² de urbanização completa</w:t>
            </w:r>
          </w:p>
        </w:tc>
        <w:tc>
          <w:tcPr>
            <w:tcW w:type="dxa" w:w="2880"/>
          </w:tcPr>
          <w:p>
            <w:r>
              <w:rPr>
                <w:sz w:val="18"/>
              </w:rPr>
              <w:t>0,73–0,93 t/m²</w:t>
            </w:r>
          </w:p>
        </w:tc>
        <w:tc>
          <w:tcPr>
            <w:tcW w:type="dxa" w:w="2880"/>
          </w:tcPr>
          <w:p>
            <w:r>
              <w:rPr>
                <w:sz w:val="18"/>
              </w:rPr>
              <w:t>BANDA COMPOSICIONAL derivada das composições oficiais DER-ES/LABOR-UFES e SINAPI-ES (Anexo B). Substitui, nesta versão, o 1,4 t/m² antes usado — que era, na origem, o fator de EDIFICAÇÃO da ANEPAC (1.360 t/1.000 m²) transplantado indevidamente para pavimentação; a linha setorial de pavimentação urbana simples (2.000–3.250 t/km em pista de 10 m = 0,20–0,33 t/m²) cobre só o recapeamento de pista, não a urbanização completa sobre areia</w:t>
            </w:r>
          </w:p>
        </w:tc>
      </w:tr>
      <w:tr>
        <w:tc>
          <w:tcPr>
            <w:tcW w:type="dxa" w:w="2880"/>
          </w:tcPr>
          <w:p>
            <w:r>
              <w:rPr>
                <w:sz w:val="18"/>
              </w:rPr>
              <w:t>Produtos de britagem no agregado das OBRAS</w:t>
            </w:r>
          </w:p>
        </w:tc>
        <w:tc>
          <w:tcPr>
            <w:tcW w:type="dxa" w:w="2880"/>
          </w:tcPr>
          <w:p>
            <w:r>
              <w:rPr>
                <w:sz w:val="18"/>
              </w:rPr>
              <w:t>79,4%–94,1%</w:t>
            </w:r>
          </w:p>
        </w:tc>
        <w:tc>
          <w:tcPr>
            <w:tcW w:type="dxa" w:w="2880"/>
          </w:tcPr>
          <w:p>
            <w:r>
              <w:rPr>
                <w:sz w:val="18"/>
              </w:rPr>
              <w:t>COMPOSICIONAL por frente (frase 2). Substitui, nesta versão, o coeficiente único de 42% da ANEPAC — que mede a participação da brita na PRODUÇÃO NACIONAL de agregados, média puxada por edificação, e não a composição de obra rodoviária e de drenagem</w:t>
            </w:r>
          </w:p>
        </w:tc>
      </w:tr>
      <w:tr>
        <w:tc>
          <w:tcPr>
            <w:tcW w:type="dxa" w:w="2880"/>
          </w:tcPr>
          <w:p>
            <w:r>
              <w:rPr>
                <w:sz w:val="18"/>
              </w:rPr>
              <w:t>Produtos de britagem no agregado de GURIRI</w:t>
            </w:r>
          </w:p>
        </w:tc>
        <w:tc>
          <w:tcPr>
            <w:tcW w:type="dxa" w:w="2880"/>
          </w:tcPr>
          <w:p>
            <w:r>
              <w:rPr>
                <w:sz w:val="18"/>
              </w:rPr>
              <w:t>83%–86%</w:t>
            </w:r>
          </w:p>
        </w:tc>
        <w:tc>
          <w:tcPr>
            <w:tcW w:type="dxa" w:w="2880"/>
          </w:tcPr>
          <w:p>
            <w:r>
              <w:rPr>
                <w:sz w:val="18"/>
              </w:rPr>
              <w:t>COMPOSICIONAL por camada (§3.3). Difere do das obras por ser outro tipo de construção — intertravado sobre areia, sem concreto estrutural de peso</w:t>
            </w:r>
          </w:p>
        </w:tc>
      </w:tr>
    </w:tbl>
    <w:p>
      <w:pPr>
        <w:spacing w:after="120"/>
      </w:pPr>
      <w:r>
        <w:rPr>
          <w:b w:val="0"/>
          <w:i/>
          <w:color w:val="595959"/>
          <w:sz w:val="18"/>
        </w:rPr>
        <w:t>Aviso herdado do Estudo (item 6.3): estas toneladas dimensionam a ESCALA do mercado — não são quantitativos de projeto executivo, e variam com o tipo de pavimento e as espessuras de projeto.</w:t>
      </w:r>
    </w:p>
    <w:p>
      <w:pPr>
        <w:spacing w:after="120" w:before="200"/>
      </w:pPr>
      <w:r>
        <w:rPr>
          <w:b/>
          <w:i w:val="0"/>
          <w:sz w:val="26"/>
        </w:rPr>
        <w:t>1. As frases do parágrafo, uma a uma</w:t>
      </w:r>
    </w:p>
    <w:p>
      <w:pPr>
        <w:spacing w:after="120" w:before="160"/>
      </w:pPr>
      <w:r>
        <w:rPr>
          <w:b/>
          <w:i w:val="0"/>
          <w:sz w:val="22"/>
        </w:rPr>
        <w:t>Frase 1 — “Em conjunto, essas frentes representam entre 700 e 950 mil toneladas de agregados”</w:t>
      </w:r>
    </w:p>
    <w:p>
      <w:pPr>
        <w:spacing w:after="120"/>
      </w:pPr>
      <w:r>
        <w:rPr>
          <w:b w:val="0"/>
          <w:i w:val="0"/>
        </w:rPr>
        <w:t>Reconstrução obra a obra pelas composições oficiais (revisada nesta versão), com a hipótese de cada parcela à vista: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Conta</w:t>
            </w:r>
          </w:p>
        </w:tc>
        <w:tc>
          <w:tcPr>
            <w:tcW w:type="dxa" w:w="2160"/>
          </w:tcPr>
          <w:p>
            <w:r>
              <w:rPr>
                <w:b/>
                <w:sz w:val="18"/>
              </w:rPr>
              <w:t>mil t de agregados</w:t>
            </w:r>
          </w:p>
        </w:tc>
        <w:tc>
          <w:tcPr>
            <w:tcW w:type="dxa" w:w="2160"/>
          </w:tcPr>
          <w:p>
            <w:r>
              <w:rPr>
                <w:b/>
                <w:sz w:val="18"/>
              </w:rPr>
              <w:t>Selo</w:t>
            </w:r>
          </w:p>
        </w:tc>
      </w:tr>
      <w:tr>
        <w:tc>
          <w:tcPr>
            <w:tcW w:type="dxa" w:w="2160"/>
          </w:tcPr>
          <w:p>
            <w:r>
              <w:rPr>
                <w:sz w:val="18"/>
              </w:rPr>
              <w:t>Contorno ES-318 — 24,6 km</w:t>
            </w:r>
          </w:p>
        </w:tc>
        <w:tc>
          <w:tcPr>
            <w:tcW w:type="dxa" w:w="2160"/>
          </w:tcPr>
          <w:p>
            <w:r>
              <w:rPr>
                <w:sz w:val="18"/>
              </w:rPr>
              <w:t>24,6 × 9.800 (setorial, validado pela banda composicional 6,1–11,0 mil t/km)</w:t>
            </w:r>
          </w:p>
        </w:tc>
        <w:tc>
          <w:tcPr>
            <w:tcW w:type="dxa" w:w="2160"/>
          </w:tcPr>
          <w:p>
            <w:r>
              <w:rPr>
                <w:sz w:val="18"/>
              </w:rPr>
              <w:t>241</w:t>
            </w:r>
          </w:p>
        </w:tc>
        <w:tc>
          <w:tcPr>
            <w:tcW w:type="dxa" w:w="2160"/>
          </w:tcPr>
          <w:p>
            <w:r>
              <w:rPr>
                <w:sz w:val="18"/>
              </w:rPr>
              <w:t>COEFICIENTE (km documental)</w:t>
            </w:r>
          </w:p>
        </w:tc>
      </w:tr>
      <w:tr>
        <w:tc>
          <w:tcPr>
            <w:tcW w:type="dxa" w:w="2160"/>
          </w:tcPr>
          <w:p>
            <w:r>
              <w:rPr>
                <w:sz w:val="18"/>
              </w:rPr>
              <w:t>Duplicação ES-315 — 12,06 km (pista nova)</w:t>
            </w:r>
          </w:p>
        </w:tc>
        <w:tc>
          <w:tcPr>
            <w:tcW w:type="dxa" w:w="2160"/>
          </w:tcPr>
          <w:p>
            <w:r>
              <w:rPr>
                <w:sz w:val="18"/>
              </w:rPr>
              <w:t>12,06 × 9.800</w:t>
            </w:r>
          </w:p>
        </w:tc>
        <w:tc>
          <w:tcPr>
            <w:tcW w:type="dxa" w:w="2160"/>
          </w:tcPr>
          <w:p>
            <w:r>
              <w:rPr>
                <w:sz w:val="18"/>
              </w:rPr>
              <w:t>118</w:t>
            </w:r>
          </w:p>
        </w:tc>
        <w:tc>
          <w:tcPr>
            <w:tcW w:type="dxa" w:w="2160"/>
          </w:tcPr>
          <w:p>
            <w:r>
              <w:rPr>
                <w:sz w:val="18"/>
              </w:rPr>
              <w:t>COEFICIENTE (km documental)</w:t>
            </w:r>
          </w:p>
        </w:tc>
      </w:tr>
      <w:tr>
        <w:tc>
          <w:tcPr>
            <w:tcW w:type="dxa" w:w="2160"/>
          </w:tcPr>
          <w:p>
            <w:r>
              <w:rPr>
                <w:sz w:val="18"/>
              </w:rPr>
              <w:t>BR-101 terceiras faixas — 21,6 km</w:t>
            </w:r>
          </w:p>
        </w:tc>
        <w:tc>
          <w:tcPr>
            <w:tcW w:type="dxa" w:w="2160"/>
          </w:tcPr>
          <w:p>
            <w:r>
              <w:rPr>
                <w:sz w:val="18"/>
              </w:rPr>
              <w:t>21,6 × 9.800 × 30–50%</w:t>
            </w:r>
          </w:p>
        </w:tc>
        <w:tc>
          <w:tcPr>
            <w:tcW w:type="dxa" w:w="2160"/>
          </w:tcPr>
          <w:p>
            <w:r>
              <w:rPr>
                <w:sz w:val="18"/>
              </w:rPr>
              <w:t>64–106</w:t>
            </w:r>
          </w:p>
        </w:tc>
        <w:tc>
          <w:tcPr>
            <w:tcW w:type="dxa" w:w="2160"/>
          </w:tcPr>
          <w:p>
            <w:r>
              <w:rPr>
                <w:sz w:val="18"/>
              </w:rPr>
              <w:t>PREMISSA (km documental)</w:t>
            </w:r>
          </w:p>
        </w:tc>
      </w:tr>
      <w:tr>
        <w:tc>
          <w:tcPr>
            <w:tcW w:type="dxa" w:w="2160"/>
          </w:tcPr>
          <w:p>
            <w:r>
              <w:rPr>
                <w:sz w:val="18"/>
              </w:rPr>
              <w:t>Bacia 1 — pavimentação 125 mil m²</w:t>
            </w:r>
          </w:p>
        </w:tc>
        <w:tc>
          <w:tcPr>
            <w:tcW w:type="dxa" w:w="2160"/>
          </w:tcPr>
          <w:p>
            <w:r>
              <w:rPr>
                <w:sz w:val="18"/>
              </w:rPr>
              <w:t>125.000 × 0,73–0,93 t/m² (composicional)</w:t>
            </w:r>
          </w:p>
        </w:tc>
        <w:tc>
          <w:tcPr>
            <w:tcW w:type="dxa" w:w="2160"/>
          </w:tcPr>
          <w:p>
            <w:r>
              <w:rPr>
                <w:sz w:val="18"/>
              </w:rPr>
              <w:t>91–117</w:t>
            </w:r>
          </w:p>
        </w:tc>
        <w:tc>
          <w:tcPr>
            <w:tcW w:type="dxa" w:w="2160"/>
          </w:tcPr>
          <w:p>
            <w:r>
              <w:rPr>
                <w:sz w:val="18"/>
              </w:rPr>
              <w:t>COMPOSICIONAL (m² do edital)</w:t>
            </w:r>
          </w:p>
        </w:tc>
      </w:tr>
      <w:tr>
        <w:tc>
          <w:tcPr>
            <w:tcW w:type="dxa" w:w="2160"/>
          </w:tcPr>
          <w:p>
            <w:r>
              <w:rPr>
                <w:sz w:val="18"/>
              </w:rPr>
              <w:t>Bacia 1 — galerias 13,5 km</w:t>
            </w:r>
          </w:p>
        </w:tc>
        <w:tc>
          <w:tcPr>
            <w:tcW w:type="dxa" w:w="2160"/>
          </w:tcPr>
          <w:p>
            <w:r>
              <w:rPr>
                <w:sz w:val="18"/>
              </w:rPr>
              <w:t>13.500 m × 2,4–4,0 m³/m × 2,10–2,19 t/m³</w:t>
            </w:r>
          </w:p>
        </w:tc>
        <w:tc>
          <w:tcPr>
            <w:tcW w:type="dxa" w:w="2160"/>
          </w:tcPr>
          <w:p>
            <w:r>
              <w:rPr>
                <w:sz w:val="18"/>
              </w:rPr>
              <w:t>68–118</w:t>
            </w:r>
          </w:p>
        </w:tc>
        <w:tc>
          <w:tcPr>
            <w:tcW w:type="dxa" w:w="2160"/>
          </w:tcPr>
          <w:p>
            <w:r>
              <w:rPr>
                <w:sz w:val="18"/>
              </w:rPr>
              <w:t>COMPOSICIONAL sobre PREMISSA de seção</w:t>
            </w:r>
          </w:p>
        </w:tc>
      </w:tr>
      <w:tr>
        <w:tc>
          <w:tcPr>
            <w:tcW w:type="dxa" w:w="2160"/>
          </w:tcPr>
          <w:p>
            <w:r>
              <w:rPr>
                <w:sz w:val="18"/>
              </w:rPr>
              <w:t>Bacia 2 — paridade de valor 0,85–1,0 × Bacia 1</w:t>
            </w:r>
          </w:p>
        </w:tc>
        <w:tc>
          <w:tcPr>
            <w:tcW w:type="dxa" w:w="2160"/>
          </w:tcPr>
          <w:p>
            <w:r>
              <w:rPr>
                <w:sz w:val="18"/>
              </w:rPr>
              <w:t>0,85–1,0 × (159–235 mil t)</w:t>
            </w:r>
          </w:p>
        </w:tc>
        <w:tc>
          <w:tcPr>
            <w:tcW w:type="dxa" w:w="2160"/>
          </w:tcPr>
          <w:p>
            <w:r>
              <w:rPr>
                <w:sz w:val="18"/>
              </w:rPr>
              <w:t>135–235</w:t>
            </w:r>
          </w:p>
        </w:tc>
        <w:tc>
          <w:tcPr>
            <w:tcW w:type="dxa" w:w="2160"/>
          </w:tcPr>
          <w:p>
            <w:r>
              <w:rPr>
                <w:sz w:val="18"/>
              </w:rPr>
              <w:t>PREMISSA (valor documental)</w:t>
            </w:r>
          </w:p>
        </w:tc>
      </w:tr>
      <w:tr>
        <w:tc>
          <w:tcPr>
            <w:tcW w:type="dxa" w:w="2160"/>
          </w:tcPr>
          <w:p>
            <w:r>
              <w:rPr>
                <w:sz w:val="18"/>
              </w:rPr>
              <w:t>Pontes/OAE e drenagens menores</w:t>
            </w:r>
          </w:p>
        </w:tc>
        <w:tc>
          <w:tcPr>
            <w:tcW w:type="dxa" w:w="2160"/>
          </w:tcPr>
          <w:p>
            <w:r>
              <w:rPr>
                <w:sz w:val="18"/>
              </w:rPr>
              <w:t>ordem de grandeza</w:t>
            </w:r>
          </w:p>
        </w:tc>
        <w:tc>
          <w:tcPr>
            <w:tcW w:type="dxa" w:w="2160"/>
          </w:tcPr>
          <w:p>
            <w:r>
              <w:rPr>
                <w:sz w:val="18"/>
              </w:rPr>
              <w:t>5–15</w:t>
            </w:r>
          </w:p>
        </w:tc>
        <w:tc>
          <w:tcPr>
            <w:tcW w:type="dxa" w:w="2160"/>
          </w:tcPr>
          <w:p>
            <w:r>
              <w:rPr>
                <w:sz w:val="18"/>
              </w:rPr>
              <w:t>PREMISSA</w:t>
            </w:r>
          </w:p>
        </w:tc>
      </w:tr>
      <w:tr>
        <w:tc>
          <w:tcPr>
            <w:tcW w:type="dxa" w:w="2160"/>
          </w:tcPr>
          <w:p>
            <w:r>
              <w:rPr>
                <w:sz w:val="18"/>
              </w:rPr>
              <w:t>SOMA DA RECONSTRUÇÃO</w:t>
            </w:r>
          </w:p>
        </w:tc>
        <w:tc>
          <w:tcPr>
            <w:tcW w:type="dxa" w:w="2160"/>
          </w:tcPr>
          <w:p>
            <w:r>
              <w:rPr>
                <w:sz w:val="18"/>
              </w:rPr>
            </w:r>
          </w:p>
        </w:tc>
        <w:tc>
          <w:tcPr>
            <w:tcW w:type="dxa" w:w="2160"/>
          </w:tcPr>
          <w:p>
            <w:r>
              <w:rPr>
                <w:sz w:val="18"/>
              </w:rPr>
              <w:t>723–951</w:t>
            </w:r>
          </w:p>
        </w:tc>
        <w:tc>
          <w:tcPr>
            <w:tcW w:type="dxa" w:w="2160"/>
          </w:tcPr>
          <w:p>
            <w:r>
              <w:rPr>
                <w:sz w:val="18"/>
              </w:rPr>
            </w:r>
          </w:p>
        </w:tc>
      </w:tr>
    </w:tbl>
    <w:p>
      <w:pPr>
        <w:spacing w:after="120"/>
      </w:pPr>
      <w:r>
        <w:rPr>
          <w:b w:val="0"/>
          <w:i w:val="0"/>
        </w:rPr>
        <w:t>A reconstrução composicional soma 723 a 951 mil t — contra a faixa publicada no Estudo (700 a 950 mil t): o teto coincide (951 ≈ 950) e o piso publicado é ~3% MAIS CONSERVADOR que o composicional (700 &lt; 723). E a lista nem inclui as frentes menores catalogadas (Fundo Cidades ~R$ 59 mi, Sítio Histórico do Porto &gt;R$ 10 mi, Mercado Municipal, Complexo de Saúde). Nota de revisão: a versão anterior desta tabela somava 862–1.030 mil t usando 1,4 t/m² na pavimentação da Bacia 1; com a banda composicional (0,73–0,93 t/m²), a parcela cai e a soma converge exatamente para a faixa publicada.</w:t>
      </w:r>
    </w:p>
    <w:p>
      <w:pPr>
        <w:spacing w:after="120" w:before="160"/>
      </w:pPr>
      <w:r>
        <w:rPr>
          <w:b/>
          <w:i w:val="0"/>
          <w:sz w:val="22"/>
        </w:rPr>
        <w:t>Frase 2 — “a brita responde por cerca de 40% a 45% desse mix — entre 300 e 400 mil toneladas no período” — COEFICIENTE SUBSTITUÍDO</w:t>
      </w:r>
    </w:p>
    <w:p>
      <w:pPr>
        <w:spacing w:after="120"/>
      </w:pPr>
      <w:r>
        <w:rPr>
          <w:b/>
          <w:i w:val="0"/>
        </w:rPr>
        <w:t>Esta frase usava um coeficiente único de 42% — a participação da brita na PRODUÇÃO NACIONAL de agregados, segundo a ANEPAC (de 640 Mt produzidas no Brasil em 2022, 266 Mt de brita contra 374 Mt de areia). Auditoria independente desta rodada mostrou que ele responde a outra pergunta, e que a frase estava SUBESTIMADA por 1,89× a 2,24×.</w:t>
      </w:r>
    </w:p>
    <w:p>
      <w:pPr>
        <w:spacing w:after="120"/>
      </w:pPr>
      <w:r>
        <w:rPr>
          <w:b w:val="0"/>
          <w:i w:val="0"/>
        </w:rPr>
        <w:t>Dois erros somados. O PRIMEIRO é de universo: a média nacional é puxada por EDIFICAÇÃO — argamassa, contrapiso, alvenaria —, que é intensiva em areia natural. Obra rodoviária e de macrodrenagem é o extremo oposto: a massa está concentrada em camadas granulares — base e sub-base —, que são 100% rocha britada. O SEGUNDO é de definição: a CIPREM não vende “brita” no sentido da estatística; vende PRODUTOS DE BRITAGEM, e nisso entram pó de pedra, brita graduada simples, pedrisco, bica corrida, rachão e areia de britagem. Descartar 58% como “areia” joga fora justamente o pó e a BGS, que são os dois maiores itens de massa de uma obra rodoviária e o miolo do faturamento de uma britagem de granito.</w:t>
      </w:r>
    </w:p>
    <w:p>
      <w:pPr>
        <w:spacing w:after="120"/>
      </w:pPr>
      <w:r>
        <w:rPr>
          <w:b w:val="0"/>
          <w:i w:val="0"/>
          <w:sz w:val="19"/>
        </w:rPr>
        <w:t>O argumento que encerra a discussão é físico: a frase antiga implica que 406–551 mil t dessas obras seriam AREIA NATURAL. Não existe consumo dessa ordem de areia de rio num pacote cujo maior item de massa é base e sub-base granular — camada em que areia natural é tecnicamente rejeitada, por falta de intertravamento e de suporte estrutural.</w:t>
      </w:r>
    </w:p>
    <w:p>
      <w:pPr>
        <w:spacing w:after="120"/>
      </w:pPr>
      <w:r>
        <w:rPr>
          <w:b w:val="0"/>
          <w:i w:val="0"/>
        </w:rPr>
        <w:t>A frase passa a usar fração COMPOSICIONAL POR FRENTE, no mesmo padrão já aplicado a Guriri: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mil t de agregados</w:t>
            </w:r>
          </w:p>
        </w:tc>
        <w:tc>
          <w:tcPr>
            <w:tcW w:type="dxa" w:w="2160"/>
          </w:tcPr>
          <w:p>
            <w:r>
              <w:rPr>
                <w:b/>
                <w:sz w:val="18"/>
              </w:rPr>
              <w:t>% de produtos de britagem</w:t>
            </w:r>
          </w:p>
        </w:tc>
        <w:tc>
          <w:tcPr>
            <w:tcW w:type="dxa" w:w="2160"/>
          </w:tcPr>
          <w:p>
            <w:r>
              <w:rPr>
                <w:b/>
                <w:sz w:val="18"/>
              </w:rPr>
              <w:t>Razão construtiva</w:t>
            </w:r>
          </w:p>
        </w:tc>
      </w:tr>
      <w:tr>
        <w:tc>
          <w:tcPr>
            <w:tcW w:type="dxa" w:w="2160"/>
          </w:tcPr>
          <w:p>
            <w:r>
              <w:rPr>
                <w:sz w:val="18"/>
              </w:rPr>
              <w:t>Contorno ES-318 — 24,6 km</w:t>
            </w:r>
          </w:p>
        </w:tc>
        <w:tc>
          <w:tcPr>
            <w:tcW w:type="dxa" w:w="2160"/>
          </w:tcPr>
          <w:p>
            <w:r>
              <w:rPr>
                <w:sz w:val="18"/>
              </w:rPr>
              <w:t>241–241</w:t>
            </w:r>
          </w:p>
        </w:tc>
        <w:tc>
          <w:tcPr>
            <w:tcW w:type="dxa" w:w="2160"/>
          </w:tcPr>
          <w:p>
            <w:r>
              <w:rPr>
                <w:sz w:val="18"/>
              </w:rPr>
              <w:t>85%–98%</w:t>
            </w:r>
          </w:p>
        </w:tc>
        <w:tc>
          <w:tcPr>
            <w:tcW w:type="dxa" w:w="2160"/>
          </w:tcPr>
          <w:p>
            <w:r>
              <w:rPr>
                <w:sz w:val="18"/>
              </w:rPr>
              <w:t>base BGS e sub-base granular são ~84% da massa por km e 100% britadas; CBUQ ~14% com 94% de fração mineral britada; concreto de OAE ~2% a 58%</w:t>
            </w:r>
          </w:p>
        </w:tc>
      </w:tr>
      <w:tr>
        <w:tc>
          <w:tcPr>
            <w:tcW w:type="dxa" w:w="2160"/>
          </w:tcPr>
          <w:p>
            <w:r>
              <w:rPr>
                <w:sz w:val="18"/>
              </w:rPr>
              <w:t>Duplicação ES-315 — 12,06 km (pista nova)</w:t>
            </w:r>
          </w:p>
        </w:tc>
        <w:tc>
          <w:tcPr>
            <w:tcW w:type="dxa" w:w="2160"/>
          </w:tcPr>
          <w:p>
            <w:r>
              <w:rPr>
                <w:sz w:val="18"/>
              </w:rPr>
              <w:t>118–118</w:t>
            </w:r>
          </w:p>
        </w:tc>
        <w:tc>
          <w:tcPr>
            <w:tcW w:type="dxa" w:w="2160"/>
          </w:tcPr>
          <w:p>
            <w:r>
              <w:rPr>
                <w:sz w:val="18"/>
              </w:rPr>
              <w:t>85%–98%</w:t>
            </w:r>
          </w:p>
        </w:tc>
        <w:tc>
          <w:tcPr>
            <w:tcW w:type="dxa" w:w="2160"/>
          </w:tcPr>
          <w:p>
            <w:r>
              <w:rPr>
                <w:sz w:val="18"/>
              </w:rPr>
              <w:t>mesma composição de rodovia nova de duas faixas</w:t>
            </w:r>
          </w:p>
        </w:tc>
      </w:tr>
      <w:tr>
        <w:tc>
          <w:tcPr>
            <w:tcW w:type="dxa" w:w="2160"/>
          </w:tcPr>
          <w:p>
            <w:r>
              <w:rPr>
                <w:sz w:val="18"/>
              </w:rPr>
              <w:t>BR-101 terceiras faixas — 21,6 km</w:t>
            </w:r>
          </w:p>
        </w:tc>
        <w:tc>
          <w:tcPr>
            <w:tcW w:type="dxa" w:w="2160"/>
          </w:tcPr>
          <w:p>
            <w:r>
              <w:rPr>
                <w:sz w:val="18"/>
              </w:rPr>
              <w:t>64–106</w:t>
            </w:r>
          </w:p>
        </w:tc>
        <w:tc>
          <w:tcPr>
            <w:tcW w:type="dxa" w:w="2160"/>
          </w:tcPr>
          <w:p>
            <w:r>
              <w:rPr>
                <w:sz w:val="18"/>
              </w:rPr>
              <w:t>88%–96%</w:t>
            </w:r>
          </w:p>
        </w:tc>
        <w:tc>
          <w:tcPr>
            <w:tcW w:type="dxa" w:w="2160"/>
          </w:tcPr>
          <w:p>
            <w:r>
              <w:rPr>
                <w:sz w:val="18"/>
              </w:rPr>
              <w:t>faixa adicional é quase toda camada granular e capa; proporcionalmente menos concreto. Teto recuado de 99% para 96% na 4ª auditoria cega: 99% exigiria zero areia natural E zero dispositivo de concreto (sarjeta, meio-fio, descida d’água, barreira), o que nenhum contrato de terceira faixa cumpre</w:t>
            </w:r>
          </w:p>
        </w:tc>
      </w:tr>
      <w:tr>
        <w:tc>
          <w:tcPr>
            <w:tcW w:type="dxa" w:w="2160"/>
          </w:tcPr>
          <w:p>
            <w:r>
              <w:rPr>
                <w:sz w:val="18"/>
              </w:rPr>
              <w:t>Bacia 1 — pavimentação 125 mil m²</w:t>
            </w:r>
          </w:p>
        </w:tc>
        <w:tc>
          <w:tcPr>
            <w:tcW w:type="dxa" w:w="2160"/>
          </w:tcPr>
          <w:p>
            <w:r>
              <w:rPr>
                <w:sz w:val="18"/>
              </w:rPr>
              <w:t>91–117</w:t>
            </w:r>
          </w:p>
        </w:tc>
        <w:tc>
          <w:tcPr>
            <w:tcW w:type="dxa" w:w="2160"/>
          </w:tcPr>
          <w:p>
            <w:r>
              <w:rPr>
                <w:sz w:val="18"/>
              </w:rPr>
              <w:t>82%–97%</w:t>
            </w:r>
          </w:p>
        </w:tc>
        <w:tc>
          <w:tcPr>
            <w:tcW w:type="dxa" w:w="2160"/>
          </w:tcPr>
          <w:p>
            <w:r>
              <w:rPr>
                <w:sz w:val="18"/>
              </w:rPr>
              <w:t>mesma decomposição do intertravado de Guriri: sub-base e base 100%, blocos 85%, rejunte 100%; o colchão de assentamento é o único item disputável</w:t>
            </w:r>
          </w:p>
        </w:tc>
      </w:tr>
      <w:tr>
        <w:tc>
          <w:tcPr>
            <w:tcW w:type="dxa" w:w="2160"/>
          </w:tcPr>
          <w:p>
            <w:r>
              <w:rPr>
                <w:sz w:val="18"/>
              </w:rPr>
              <w:t>Bacia 1 — galerias 13,5 km</w:t>
            </w:r>
          </w:p>
        </w:tc>
        <w:tc>
          <w:tcPr>
            <w:tcW w:type="dxa" w:w="2160"/>
          </w:tcPr>
          <w:p>
            <w:r>
              <w:rPr>
                <w:sz w:val="18"/>
              </w:rPr>
              <w:t>68–118</w:t>
            </w:r>
          </w:p>
        </w:tc>
        <w:tc>
          <w:tcPr>
            <w:tcW w:type="dxa" w:w="2160"/>
          </w:tcPr>
          <w:p>
            <w:r>
              <w:rPr>
                <w:sz w:val="18"/>
              </w:rPr>
              <w:t>58%–85%</w:t>
            </w:r>
          </w:p>
        </w:tc>
        <w:tc>
          <w:tcPr>
            <w:tcW w:type="dxa" w:w="2160"/>
          </w:tcPr>
          <w:p>
            <w:r>
              <w:rPr>
                <w:sz w:val="18"/>
              </w:rPr>
              <w:t>concreto estrutural: o graúdo é 57,9% do agregado por traço, piso garantido; o teto supõe o miúdo majoritariamente em areia de britagem</w:t>
            </w:r>
          </w:p>
        </w:tc>
      </w:tr>
      <w:tr>
        <w:tc>
          <w:tcPr>
            <w:tcW w:type="dxa" w:w="2160"/>
          </w:tcPr>
          <w:p>
            <w:r>
              <w:rPr>
                <w:sz w:val="18"/>
              </w:rPr>
              <w:t>Bacia 2 — paridade de valor 0,85–1,0 × Bacia 1</w:t>
            </w:r>
          </w:p>
        </w:tc>
        <w:tc>
          <w:tcPr>
            <w:tcW w:type="dxa" w:w="2160"/>
          </w:tcPr>
          <w:p>
            <w:r>
              <w:rPr>
                <w:sz w:val="18"/>
              </w:rPr>
              <w:t>135–235</w:t>
            </w:r>
          </w:p>
        </w:tc>
        <w:tc>
          <w:tcPr>
            <w:tcW w:type="dxa" w:w="2160"/>
          </w:tcPr>
          <w:p>
            <w:r>
              <w:rPr>
                <w:sz w:val="18"/>
              </w:rPr>
              <w:t>70%–91%</w:t>
            </w:r>
          </w:p>
        </w:tc>
        <w:tc>
          <w:tcPr>
            <w:tcW w:type="dxa" w:w="2160"/>
          </w:tcPr>
          <w:p>
            <w:r>
              <w:rPr>
                <w:sz w:val="18"/>
              </w:rPr>
              <w:t>mesmo mix da Bacia 1, ponderando galerias e pavimentação</w:t>
            </w:r>
          </w:p>
        </w:tc>
      </w:tr>
      <w:tr>
        <w:tc>
          <w:tcPr>
            <w:tcW w:type="dxa" w:w="2160"/>
          </w:tcPr>
          <w:p>
            <w:r>
              <w:rPr>
                <w:sz w:val="18"/>
              </w:rPr>
              <w:t>Pontes/OAE e drenagens menores</w:t>
            </w:r>
          </w:p>
        </w:tc>
        <w:tc>
          <w:tcPr>
            <w:tcW w:type="dxa" w:w="2160"/>
          </w:tcPr>
          <w:p>
            <w:r>
              <w:rPr>
                <w:sz w:val="18"/>
              </w:rPr>
              <w:t>5–15</w:t>
            </w:r>
          </w:p>
        </w:tc>
        <w:tc>
          <w:tcPr>
            <w:tcW w:type="dxa" w:w="2160"/>
          </w:tcPr>
          <w:p>
            <w:r>
              <w:rPr>
                <w:sz w:val="18"/>
              </w:rPr>
              <w:t>60%–85%</w:t>
            </w:r>
          </w:p>
        </w:tc>
        <w:tc>
          <w:tcPr>
            <w:tcW w:type="dxa" w:w="2160"/>
          </w:tcPr>
          <w:p>
            <w:r>
              <w:rPr>
                <w:sz w:val="18"/>
              </w:rPr>
              <w:t>concreto estrutural, mesma lógica das galerias</w:t>
            </w:r>
          </w:p>
        </w:tc>
      </w:tr>
      <w:tr>
        <w:tc>
          <w:tcPr>
            <w:tcW w:type="dxa" w:w="2160"/>
          </w:tcPr>
          <w:p>
            <w:r>
              <w:rPr>
                <w:sz w:val="18"/>
              </w:rPr>
              <w:t>PONDERAÇÃO DO CONJUNTO</w:t>
            </w:r>
          </w:p>
        </w:tc>
        <w:tc>
          <w:tcPr>
            <w:tcW w:type="dxa" w:w="2160"/>
          </w:tcPr>
          <w:p>
            <w:r>
              <w:rPr>
                <w:sz w:val="18"/>
              </w:rPr>
              <w:t>723–951</w:t>
            </w:r>
          </w:p>
        </w:tc>
        <w:tc>
          <w:tcPr>
            <w:tcW w:type="dxa" w:w="2160"/>
          </w:tcPr>
          <w:p>
            <w:r>
              <w:rPr>
                <w:sz w:val="18"/>
              </w:rPr>
              <w:t>79,4%–94,1%</w:t>
            </w:r>
          </w:p>
        </w:tc>
        <w:tc>
          <w:tcPr>
            <w:tcW w:type="dxa" w:w="2160"/>
          </w:tcPr>
          <w:p>
            <w:r>
              <w:rPr>
                <w:sz w:val="18"/>
              </w:rPr>
              <w:t>média ponderada pelas toneladas de cada frente — não é escalar arbitrado</w:t>
            </w:r>
          </w:p>
        </w:tc>
      </w:tr>
    </w:tbl>
    <w:p>
      <w:pPr>
        <w:spacing w:after="120"/>
      </w:pPr>
      <w:r>
        <w:rPr>
          <w:b w:val="0"/>
          <w:i w:val="0"/>
        </w:rPr>
        <w:t>Aplicada à faixa publicada no Estudo (700–950 mil t de agregados — faixa que é conservadora NO PISO, 3,1% abaixo da reconstrução, e praticamente idêntica a ela no teto, onde a diferença é de 0,06%; a 4ª auditoria cega pediu essa precisão de linguagem): 556 a 894 mil t de produtos de britagem no período, contra os 294–399 mil t antes publicados. Selo: COMPOSICIONAL (substitui o COEFICIENTE anterior).</w:t>
      </w:r>
    </w:p>
    <w:p>
      <w:pPr>
        <w:spacing w:after="120"/>
      </w:pPr>
      <w:r>
        <w:rPr>
          <w:b w:val="0"/>
          <w:i w:val="0"/>
          <w:sz w:val="19"/>
        </w:rPr>
        <w:t>SENSIBILIDADE DECLARADA, porque a leitura alta depende de a planta capturar a fração miúda: sem areia de britagem — isto é, sem câmara VSI classificando e lavando o material fino — a fração cai para 75%–86%, ou 527–812 mil t, o que AINDA é 1,8× a 2,0× o número anterior. A conclusão é robusta: no teste de estresse do auditor, empilhando tonelagem 25% menor E planta sem areia industrial, chega-se a ~395 mil t — ainda 1,3× o piso antes publicado. Registre-se que o projeto da CIPREM PREVÊ a câmara F-Sand no cônico, o que sustenta a leitura adotada.</w:t>
      </w:r>
    </w:p>
    <w:p>
      <w:pPr>
        <w:spacing w:after="120"/>
      </w:pPr>
      <w:r>
        <w:rPr>
          <w:b w:val="0"/>
          <w:i w:val="0"/>
          <w:sz w:val="19"/>
        </w:rPr>
        <w:t>Ressalvas do auditor, registradas: (a) se o projeto executivo especificar sub-base em solo estabilizado, a fração das frentes rodoviárias cai de ~98% para ~76%; (b) a Bacia 2, dimensionada por paridade de VALOR de contrato, é o item mais frágil da tabela — 14% a 25% do total —, porque valor de contrato inclui desapropriação, remanejamento de redes e BDI, que não consomem brita; (c) os 50% adotados para a terceira faixa da BR-101 são o teto do razoável. Em sentido contrário, itens que NÃO foram contados e aumentariam o número: lastro e berço de brita sob os 13,5 km de galeria, envelopamento e reaterro granular de vala, rachão de enrocamento e material drenante — todos 100% produto de britagem.</w:t>
      </w:r>
    </w:p>
    <w:p>
      <w:pPr>
        <w:spacing w:after="120" w:before="160"/>
      </w:pPr>
      <w:r>
        <w:rPr>
          <w:b/>
          <w:i w:val="0"/>
          <w:sz w:val="22"/>
        </w:rPr>
        <w:t>Frase 3 — “ou 70 a 100 mil t/ano de demanda extraordinária durante a janela de obras”</w:t>
      </w:r>
    </w:p>
    <w:p>
      <w:pPr>
        <w:spacing w:after="120"/>
      </w:pPr>
      <w:r>
        <w:rPr>
          <w:b w:val="0"/>
          <w:i w:val="0"/>
        </w:rPr>
        <w:t>Conta atualizada: 556–894 mil t ÷ janela de 4 anos = 139–223 mil t/ano, contra os 70–100 antes publicados. A janela de 4 anos vem dos prazos contratuais: Contorno 35 meses a partir de nov/2024; ES-315 até dez/2026; BR-101 terceiras faixas até dez/2027; Bacia 2 até 2028; Bacia 1 com 1.620 dias (~4,4 anos) a partir da ordem de serviço. Se a janela real se esticar a ~6 anos (cauda da Bacia 1 até ~2031 mais a Bacia 3), o fluxo anual cai proporcionalmente e DURA mais — o total não muda, e a cobertura passa a alcançar os anos 5–6: janela mais longa é cenário FAVORÁVEL ao projeto. Selo: DOCUMENTAL (prazos) + COMPOSICIONAL (conversão).</w:t>
      </w:r>
    </w:p>
    <w:p>
      <w:pPr>
        <w:spacing w:after="120"/>
      </w:pPr>
      <w:r>
        <w:rPr>
          <w:b w:val="0"/>
          <w:i w:val="0"/>
          <w:color w:val="595959"/>
          <w:sz w:val="19"/>
        </w:rPr>
        <w:t>RISCO DECLARADO, e é o achado mais valioso da auditoria — não estava em nenhuma versão anterior deste estudo. Em obra rodoviária de porte é prática consolidada a construtora instalar BRITAGEM MÓVEL em jazida própria ou de terceiros junto ao traçado, suprindo-se a si mesma. Se isso ocorrer no Contorno ES-318, 241 mil t — 25% de tudo o que esta seção reconstrói — saem do mercado endereçável da CIPREM. A mitigação é verificável e deve ser feita antes do protocolo: levantar as jazidas licenciadas ao longo do traçado no SIGMINE e checar se a Construtora Ápia já tem área ou contrato de fornecimento na região. O mesmo vale, em menor grau, para a duplicação da ES-315.</w:t>
      </w:r>
    </w:p>
    <w:p>
      <w:pPr>
        <w:spacing w:after="120" w:before="160"/>
      </w:pPr>
      <w:r>
        <w:rPr>
          <w:b/>
          <w:i w:val="0"/>
          <w:sz w:val="22"/>
        </w:rPr>
        <w:t>Frase 4 — “a malha planejada de Guriri (11 avenidas e 31 ruas ao longo de ~8 km) … 350 a 400 mil m² de vias” — SUBSTITUÍDA PELO INVENTÁRIO MEDIDO</w:t>
      </w:r>
    </w:p>
    <w:p>
      <w:pPr>
        <w:spacing w:after="120"/>
      </w:pPr>
      <w:r>
        <w:rPr>
          <w:b w:val="0"/>
          <w:i w:val="0"/>
        </w:rPr>
        <w:t>Esta frase foi construída por grade, a partir de uma contagem presumida de avenidas e ruas, com a largura ancorada no contrato da Bacia 1 (125.000 m² ÷ 13,5 km = 9,26 m). O levantamento de 19/08/2026 sobre os 21 loteamentos (seção 3) mostrou que a grade subestimava a malha em cerca de 4,0 a 4,8 vezes: a extensão real é de 193.375 m (193,4 km) em 437 vias nomeadas — contra os 40–48 km e 350–400 mil m² estimados. A causa do erro é identificável e vale registrar: a grade supunha ~11 avenidas e ~31 ruas, quando a própria toponímia oficial já indicava ruas até a Quarenta e Oito e avenidas até a Décima Segunda [E32, E33, E41] — e, sobretudo, o balneário é formado por 21 loteamentos distintos, não por uma grade única. Selo: DOCUMENTAL (plantas de loteamento e planilha oficial da Prefeitura) com auditoria de campo virtual ponto a ponto.</w:t>
      </w:r>
    </w:p>
    <w:p>
      <w:pPr>
        <w:spacing w:after="120"/>
      </w:pPr>
      <w:r>
        <w:rPr>
          <w:b w:val="0"/>
          <w:i w:val="0"/>
          <w:color w:val="595959"/>
          <w:sz w:val="19"/>
        </w:rPr>
        <w:t>Retratação registrada: uma revisão intermediária desta memória chegou a publicar totais PRELIMINARES do mesmo levantamento (38.868 m pavimentados, 20,1%; 154.506 m e 1.236.048 m² a pavimentar; 145.465 m e 581.856 m² de passeio). Eles foram substituídos pelos números FINAIS da planilha de 19/08/2026, que fecha a auditoria dos 637 pontos: a pista pavimentada subiu para 51.379 m (26,57%) e o que falta pavimentar caiu para 141.996 m. A direção do ajuste é desfavorável ao nosso argumento (−8% de potencial) e está declarada por isso mesmo: todo número deste documento vem da planilha-fonte, lida diretamente, sem digitação intermediária.</w:t>
      </w:r>
    </w:p>
    <w:p>
      <w:pPr>
        <w:spacing w:after="120" w:before="160"/>
      </w:pPr>
      <w:r>
        <w:rPr>
          <w:b/>
          <w:i w:val="0"/>
          <w:sz w:val="22"/>
        </w:rPr>
        <w:t>Frase 5 — “entre 450 e 520 mil toneladas de agregados” — REBASEADA DUAS VEZES: banda oficial e, agora, inventário medido</w:t>
      </w:r>
    </w:p>
    <w:p>
      <w:pPr>
        <w:spacing w:after="120"/>
      </w:pPr>
      <w:r>
        <w:rPr>
          <w:b w:val="0"/>
          <w:i w:val="0"/>
        </w:rPr>
        <w:t>HISTÓRICO COMPLETO, sem esconder nada. (1) O texto original usava 1,3 t/m². (2) Uma revisão o corrigiu para 1,4 t/m², acreditando ser o fator ANEPAC de pavimentação urbana — não era: 1,4 é o fator de EDIFICAÇÃO (1.360 t/1.000 m²), e a linha setorial de pavimentação urbana (0,20–0,33 t/m²) cobre só pista simples. (3) O fator foi então derivado das COMPOSIÇÕES OFICIAIS (DER-ES/LABOR-UFES e SINAPI-ES), camada a camada. (4) Agora, com o inventário medido, a mesma banda é aplicada à ÁREA REAL e à geometria real (pista de 8 m, calçada contada à parte, conforme os projetos dos loteamentos).</w:t>
      </w:r>
    </w:p>
    <w:p>
      <w:pPr>
        <w:spacing w:after="120"/>
      </w:pPr>
      <w:r>
        <w:rPr>
          <w:b w:val="0"/>
          <w:i w:val="0"/>
        </w:rPr>
        <w:t>Resultado — e o escopo vai dito na primeira linha, porque ele muda o número: o que falta PAVIMENTAR E CALÇAR em Guriri representa 874 a 1.144 mil t de agregados, dos quais 751 a 951 mil t são PRODUTOS DE BRITAGEM — o que a CIPREM vende, contra 704–892 mil t pela premissa de 8 m, que segue publicada como piso (§3.3). Só a pista, sem a calçada, dá 804 a 1.047 mil t de agregados e 713 a 898 mil t de britagem; é essa a leitura usada no horizonte do §3.5, e a diferença entre as duas está toda na calçada, nunca em dupla contagem — as superfícies não se sobrepõem. Compare-se com o que este mesmo documento publicava na versão por grade para a malha INTEIRA (256–374 mil t de agregados; 219–312 mil t de britagem): o potencial apenas do que falta é 3,1 a 3,4 vezes maior. Em intertravado sobre areia praticamente todo agregado comprado é produto de pedreira — o colchão é pó, a base é BGS, os blocos são gravilha e pó prensados, e não se compra areia para o subleito, que já é areia. Sem dupla contagem com as galerias das Bacias 1 e 2, contadas na frase 1. Selo: COMPOSICIONAL sobre área MEDIDA e auditada.</w:t>
      </w:r>
    </w:p>
    <w:p>
      <w:pPr>
        <w:spacing w:after="120" w:before="160"/>
      </w:pPr>
      <w:r>
        <w:rPr>
          <w:b/>
          <w:i w:val="0"/>
          <w:sz w:val="22"/>
        </w:rPr>
        <w:t>Frase 6 — “As projeções incorporam 75 a 90 mil t desse potencial” — PREMISSA RETIRADA</w:t>
      </w:r>
    </w:p>
    <w:p>
      <w:pPr>
        <w:spacing w:after="120"/>
      </w:pPr>
      <w:r>
        <w:rPr>
          <w:b w:val="0"/>
          <w:i w:val="0"/>
        </w:rPr>
        <w:t>Esta frase saiu do pacote, e a razão é metodológica, não cosmética. Todas as versões anteriores atribuíam a Guriri um volume incorporado (75–90, depois 78–117 mil t) escoando numa janela de seis anos, o que produzia a camada “Guriri estrutural” de 13–19 mil t/ano do exhibit do §2. Essa construção tinha dois defeitos. O primeiro: o volume e a janela eram PREVISÃO sobre decisão orçamentária de terceiros — quando o Estado e o Município pavimentam, e quanto por ano —, coisa que ninguém pode garantir e que o analista pode contestar sem que tenhamos como responder. O segundo, decisivo: ela era DESNECESSÁRIA. Como o §2 agora demonstra ano a ano, a captura recorrente com crescimento vegetativo mais as obras CONTRATADAS cobrem o serviço da dívida nos catorze anos, sem uma tonelada de Guriri.</w:t>
      </w:r>
    </w:p>
    <w:p>
      <w:pPr>
        <w:spacing w:after="120"/>
      </w:pPr>
      <w:r>
        <w:rPr>
          <w:b w:val="0"/>
          <w:i w:val="0"/>
        </w:rPr>
        <w:t>O que fica no lugar é mais forte porque é fato medido, não previsão: existem 751–951 mil t de produtos de britagem em pavimentação por executar num único balneário do município-sede — equivalentes a 3,2 a 4,0 anos de produção INTEGRAL da CIPREM no platô —, medidos em 437 vias e auditados em 637 pontos, e NADA disso está nas projeções de receita. O estudo afirma a existência e a magnitude do estoque, ambas verificáveis; não afirma o ritmo, porque o ritmo não é nosso. Selo: COMPOSICIONAL sobre área MEDIDA.</w:t>
      </w:r>
    </w:p>
    <w:p>
      <w:pPr>
        <w:spacing w:after="120" w:before="160"/>
      </w:pPr>
      <w:r>
        <w:rPr>
          <w:b/>
          <w:i w:val="0"/>
          <w:sz w:val="22"/>
        </w:rPr>
        <w:t>Frase 7 — “demanda adicional, real e já contratada em parte”</w:t>
      </w:r>
    </w:p>
    <w:p>
      <w:pPr>
        <w:spacing w:after="120"/>
      </w:pPr>
      <w:r>
        <w:rPr>
          <w:b w:val="0"/>
          <w:i w:val="0"/>
        </w:rPr>
        <w:t>DOCUMENTAL, com o detalhe por frente (evidências no Anexo A): Bacia 2 — lado Sul — em execução pelo Consórcio Guriri CT (Contractor + Transmar; RDC estimado em R$ 343,97 mi, contratado por R$ 306,5 mi, prazo de 43 meses), com mais de 25% de avanço e mais de 2,5 km dos 10,6 km de galerias executados, fase inicial nas Av. Oceano Índico, Quinta, Homero Zordan e Rafael Barbosa e Ruas Boa Esperança, XXI, José Bonomo e Raphael Brahim [E06–E17]. Bacia 1 — lado Norte — com edital anunciado em 24/03/2026 (R$ 321,8 mi, 13,5 km de galerias, ~125 mil m² de pavimentação, 1.620 dias, vazão de 15 mil L/s), nomeando as Avenidas Décima Primeira, Nona, Esbertalina Barbosa Damiani e Hélio Faria Santos “além de ruas estratégicas” [E01–E05]. Bacia 3: sem previsão publicada [E18], dentro do programa total de ~R$ 1 bilhão declarado pelo Governador [E19]. Contorno ES-318 em execução — a imprensa o chama ora “Contorno de São Mateus”, ora “Contorno de Guriri” (24,26 km ligando a BR-101 aos entroncamentos da ES-315 e ES-010, contrato original de R$ 164 mi, hoje R$ 190,2 mi com aditivos — a diferença entre os pares 24,26 km/R$ 164 mi e 24,6 km/R$ 190,2 mi é original × aditivos, impacto de −0,4% na conta) [E42]: é a MESMA obra, não duas. Registre-se também a tensão de cronograma da Bacia 2: o prazo contratual de 43 meses, contado da assinatura (~2022), apontaria meados de 2026; com &gt;25% executado em 2026, a conclusão publicamente prevista é fim de 2028 — atraso reconhecido, que empurra a demanda para MAIS tarde, não para menos. ES-315 em duplicação (R$ 92,1 mi, conclusão prevista dez/2026) [E25]. E um precedente regional já ENTREGUE comprova o padrão construtivo: a ES-010 Barra Nova–Guriri, 19,86 km pavimentados em blocos, R$ 31 mi, inaugurada em 01/11/2025 [E24]. Antes da macrodrenagem, a Sedurb já havia executado R$ 33 mi com 4.170 m de galerias e pavimentação de três avenidas (2022) [E12], e a Prefeitura pavimentou 18.247 m² / 1,4 km da orla norte com calçadão e ciclovia, com nova fase de 1.080 m prevista até meados de 2026 [E21–E23] — pavimentação existente que representa menos de 10% da malha, mantendo válida a afirmação “majoritariamente sem pavimentação definitiva” [E43: avenidas alagadas em dez/2023].</w:t>
      </w:r>
    </w:p>
    <w:p>
      <w:pPr>
        <w:spacing w:after="120" w:before="160"/>
      </w:pPr>
      <w:r>
        <w:rPr>
          <w:b/>
          <w:i w:val="0"/>
          <w:sz w:val="22"/>
        </w:rPr>
        <w:t>Frase 8 — “As frentes demandam todo o portfólio do projeto”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Produto da CIPREM</w:t>
            </w:r>
          </w:p>
        </w:tc>
        <w:tc>
          <w:tcPr>
            <w:tcW w:type="dxa" w:w="4320"/>
          </w:tcPr>
          <w:p>
            <w:r>
              <w:rPr>
                <w:b/>
                <w:sz w:val="18"/>
              </w:rPr>
              <w:t>Onde entra nas frentes</w:t>
            </w:r>
          </w:p>
        </w:tc>
      </w:tr>
      <w:tr>
        <w:tc>
          <w:tcPr>
            <w:tcW w:type="dxa" w:w="4320"/>
          </w:tcPr>
          <w:p>
            <w:r>
              <w:rPr>
                <w:sz w:val="18"/>
              </w:rPr>
              <w:t>Britas 0 e 1 (concreto estrutural)</w:t>
            </w:r>
          </w:p>
        </w:tc>
        <w:tc>
          <w:tcPr>
            <w:tcW w:type="dxa" w:w="4320"/>
          </w:tcPr>
          <w:p>
            <w:r>
              <w:rPr>
                <w:sz w:val="18"/>
              </w:rPr>
              <w:t>galerias das Bacias 1–3, pontes do Contorno, estações de bombeamento</w:t>
            </w:r>
          </w:p>
        </w:tc>
      </w:tr>
      <w:tr>
        <w:tc>
          <w:tcPr>
            <w:tcW w:type="dxa" w:w="4320"/>
          </w:tcPr>
          <w:p>
            <w:r>
              <w:rPr>
                <w:sz w:val="18"/>
              </w:rPr>
              <w:t>BGS — brita graduada simples</w:t>
            </w:r>
          </w:p>
        </w:tc>
        <w:tc>
          <w:tcPr>
            <w:tcW w:type="dxa" w:w="4320"/>
          </w:tcPr>
          <w:p>
            <w:r>
              <w:rPr>
                <w:sz w:val="18"/>
              </w:rPr>
              <w:t>base e sub-base do Contorno, ES-315, BR-101 e vias urbanas</w:t>
            </w:r>
          </w:p>
        </w:tc>
      </w:tr>
      <w:tr>
        <w:tc>
          <w:tcPr>
            <w:tcW w:type="dxa" w:w="4320"/>
          </w:tcPr>
          <w:p>
            <w:r>
              <w:rPr>
                <w:sz w:val="18"/>
              </w:rPr>
              <w:t>Pedrisco (CBUQ)</w:t>
            </w:r>
          </w:p>
        </w:tc>
        <w:tc>
          <w:tcPr>
            <w:tcW w:type="dxa" w:w="4320"/>
          </w:tcPr>
          <w:p>
            <w:r>
              <w:rPr>
                <w:sz w:val="18"/>
              </w:rPr>
              <w:t>capas asfálticas do Contorno, ES-315, BR-101 e avenidas</w:t>
            </w:r>
          </w:p>
        </w:tc>
      </w:tr>
      <w:tr>
        <w:tc>
          <w:tcPr>
            <w:tcW w:type="dxa" w:w="4320"/>
          </w:tcPr>
          <w:p>
            <w:r>
              <w:rPr>
                <w:sz w:val="18"/>
              </w:rPr>
              <w:t>Pó de pedra</w:t>
            </w:r>
          </w:p>
        </w:tc>
        <w:tc>
          <w:tcPr>
            <w:tcW w:type="dxa" w:w="4320"/>
          </w:tcPr>
          <w:p>
            <w:r>
              <w:rPr>
                <w:sz w:val="18"/>
              </w:rPr>
              <w:t>colchão de assentamento do bloco intertravado — padrão predominante na pavimentação urbana da região</w:t>
            </w:r>
          </w:p>
        </w:tc>
      </w:tr>
      <w:tr>
        <w:tc>
          <w:tcPr>
            <w:tcW w:type="dxa" w:w="4320"/>
          </w:tcPr>
          <w:p>
            <w:r>
              <w:rPr>
                <w:sz w:val="18"/>
              </w:rPr>
              <w:t>Rachão/pulmão</w:t>
            </w:r>
          </w:p>
        </w:tc>
        <w:tc>
          <w:tcPr>
            <w:tcW w:type="dxa" w:w="4320"/>
          </w:tcPr>
          <w:p>
            <w:r>
              <w:rPr>
                <w:sz w:val="18"/>
              </w:rPr>
              <w:t>drenos, bota-espera e reforço de subleito em solos moles</w:t>
            </w:r>
          </w:p>
        </w:tc>
      </w:tr>
    </w:tbl>
    <w:p>
      <w:pPr>
        <w:spacing w:after="120" w:before="200"/>
      </w:pPr>
      <w:r>
        <w:rPr>
          <w:b/>
          <w:i w:val="0"/>
          <w:sz w:val="26"/>
        </w:rPr>
        <w:t>2. A objeção do analista, enfrentada de frente: e quando as obras acabarem?</w:t>
      </w:r>
    </w:p>
    <w:p>
      <w:pPr>
        <w:spacing w:after="120"/>
      </w:pPr>
      <w:r>
        <w:rPr>
          <w:b w:val="0"/>
          <w:i w:val="0"/>
        </w:rPr>
        <w:t>A objeção esperada: “para cumprir o plano, a CIPREM teria de vender ~240 mil t/ano sozinha, e a demanda extraordinária acaba”. A resposta tem três peças, todas já dentro do pacote — esta seção apenas as põe lado a lado, ano a ano, pelos 14 anos do financiamento.</w:t>
      </w:r>
    </w:p>
    <w:p>
      <w:pPr>
        <w:spacing w:after="120"/>
      </w:pPr>
      <w:r>
        <w:rPr>
          <w:b w:val="0"/>
          <w:i w:val="0"/>
        </w:rPr>
        <w:t>Peça 1 — o platô é META, não necessidade. A dívida (SAC) exige produção DECRESCENTE: no pior ano (3º, pico do serviço de R$ 4,54 mi), o mínimo com DSCR 1,0 é 174 mil t — 73% do platô — e cai, ano a ano, até 122 mil t no 14º (51% do platô). Peça 2 — a demanda RECORRENTE, sem contar UMA TONELADA de obra pública, sustenta captura de 165 a 185 mil t/ano (pesos do item 8 do Estudo sobre a demanda corrente por índice de consumo). Peça 3 — as camadas extraordinárias entram exatamente nos anos em que a exigência é maior, e todas elas são CONTRATADAS e documentadas.</w:t>
      </w:r>
    </w:p>
    <w:p>
      <w:pPr>
        <w:spacing w:after="120"/>
      </w:pPr>
      <w:r>
        <w:rPr>
          <w:b w:val="0"/>
          <w:i w:val="0"/>
          <w:sz w:val="19"/>
        </w:rPr>
        <w:t>Por que a exigência cai com o tempo, já que é a pergunta natural: porque o SAC amortiza principal constante sobre saldo decrescente, e a parcela encolhe. O serviço cai de R$ 4,54 mi no ano 3 para R$ 2,23 mi no ano 14 — -51%. A produção exigida, porém, cai menos: de 210 para 139 mil t com DSCR 1,3, ou -34%. A diferença entre as duas quedas é o PISO DE CUSTO FIXO: da própria série, cada R$ 1 milhão a menos de serviço libera 30,7 mil t de exigência, o que implica margem de contribuição da ordem de R$ 42/t sobre uma base fixa de cerca de R$ 3,0 mi/ano, que a empresa paga tendo ou não dívida. Registre-se também por que o pico é o ano 3 e não o ano 1: os dois primeiros anos são de carência — só juros, sem amortização —, e o serviço salta quando a amortização começa.</w:t>
      </w:r>
    </w:p>
    <w:p>
      <w:pPr>
        <w:spacing w:after="120"/>
      </w:pPr>
      <w:r>
        <w:rPr>
          <w:b w:val="0"/>
          <w:i w:val="0"/>
          <w:sz w:val="19"/>
        </w:rPr>
        <w:t>Unidade única do exhibit: TODAS as linhas — captura, camadas e produção — estão em produtos de britagem (britas, pó, BGS e derivados), a mesma unidade do platô. A captura usa o índice de 1,669 t/hab/ano, que é um índice DE BRITA: vendas de granito britado declaradas à ANM no RAL (6.888.010,58 t) ÷ população do ES — e a checagem cruzada da ANEPAC o confirma como a fatia da brita (4,1 t/hab/ano de agregados × 41,6% de brita ≈ 1,7; série regional ANEPAC: Sul e Sudeste 4,1 — NE 2,7, N 3,1, CO 4,5). As camadas de obras convertem agregados → produtos de britagem pela fração composicional de cada frente (frase 2), não mais pelo coeficiente único de 42%. Não há mistura de unidades entre as colunas.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Ano</w:t>
            </w:r>
          </w:p>
        </w:tc>
        <w:tc>
          <w:tcPr>
            <w:tcW w:type="dxa" w:w="1080"/>
          </w:tcPr>
          <w:p>
            <w:r>
              <w:rPr>
                <w:b/>
                <w:sz w:val="18"/>
              </w:rPr>
              <w:t>Produção do plano (mil t)</w:t>
            </w:r>
          </w:p>
        </w:tc>
        <w:tc>
          <w:tcPr>
            <w:tcW w:type="dxa" w:w="1080"/>
          </w:tcPr>
          <w:p>
            <w:r>
              <w:rPr>
                <w:b/>
                <w:sz w:val="18"/>
              </w:rPr>
              <w:t>Mínimo DSCR 1,0</w:t>
            </w:r>
          </w:p>
        </w:tc>
        <w:tc>
          <w:tcPr>
            <w:tcW w:type="dxa" w:w="1080"/>
          </w:tcPr>
          <w:p>
            <w:r>
              <w:rPr>
                <w:b/>
                <w:sz w:val="18"/>
              </w:rPr>
              <w:t>Recomendado DSCR 1,3</w:t>
            </w:r>
          </w:p>
        </w:tc>
        <w:tc>
          <w:tcPr>
            <w:tcW w:type="dxa" w:w="1080"/>
          </w:tcPr>
          <w:p>
            <w:r>
              <w:rPr>
                <w:b/>
                <w:sz w:val="18"/>
              </w:rPr>
              <w:t>Captura recorrente</w:t>
            </w:r>
          </w:p>
        </w:tc>
        <w:tc>
          <w:tcPr>
            <w:tcW w:type="dxa" w:w="1080"/>
          </w:tcPr>
          <w:p>
            <w:r>
              <w:rPr>
                <w:b/>
                <w:sz w:val="18"/>
              </w:rPr>
              <w:t>Captura com vegetativo</w:t>
            </w:r>
          </w:p>
        </w:tc>
        <w:tc>
          <w:tcPr>
            <w:tcW w:type="dxa" w:w="1080"/>
          </w:tcPr>
          <w:p>
            <w:r>
              <w:rPr>
                <w:b/>
                <w:sz w:val="18"/>
              </w:rPr>
              <w:t>Obras (janela)</w:t>
            </w:r>
          </w:p>
        </w:tc>
        <w:tc>
          <w:tcPr>
            <w:tcW w:type="dxa" w:w="1080"/>
          </w:tcPr>
          <w:p>
            <w:r>
              <w:rPr>
                <w:b/>
                <w:sz w:val="18"/>
              </w:rPr>
              <w:t>Leitura</w:t>
            </w:r>
          </w:p>
        </w:tc>
      </w:tr>
      <w:tr>
        <w:tc>
          <w:tcPr>
            <w:tcW w:type="dxa" w:w="1080"/>
          </w:tcPr>
          <w:p>
            <w:r>
              <w:rPr>
                <w:sz w:val="18"/>
              </w:rPr>
              <w:t>1</w:t>
            </w:r>
          </w:p>
        </w:tc>
        <w:tc>
          <w:tcPr>
            <w:tcW w:type="dxa" w:w="1080"/>
          </w:tcPr>
          <w:p>
            <w:r>
              <w:rPr>
                <w:sz w:val="18"/>
              </w:rPr>
              <w:t>63</w:t>
            </w:r>
          </w:p>
        </w:tc>
        <w:tc>
          <w:tcPr>
            <w:tcW w:type="dxa" w:w="1080"/>
          </w:tcPr>
          <w:p>
            <w:r>
              <w:rPr>
                <w:sz w:val="18"/>
              </w:rPr>
              <w:t>107</w:t>
            </w:r>
          </w:p>
        </w:tc>
        <w:tc>
          <w:tcPr>
            <w:tcW w:type="dxa" w:w="1080"/>
          </w:tcPr>
          <w:p>
            <w:r>
              <w:rPr>
                <w:sz w:val="18"/>
              </w:rPr>
              <w:t>126</w:t>
            </w:r>
          </w:p>
        </w:tc>
        <w:tc>
          <w:tcPr>
            <w:tcW w:type="dxa" w:w="1080"/>
          </w:tcPr>
          <w:p>
            <w:r>
              <w:rPr>
                <w:sz w:val="18"/>
              </w:rPr>
              <w:t>165–185</w:t>
            </w:r>
          </w:p>
        </w:tc>
        <w:tc>
          <w:tcPr>
            <w:tcW w:type="dxa" w:w="1080"/>
          </w:tcPr>
          <w:p>
            <w:r>
              <w:rPr>
                <w:sz w:val="18"/>
              </w:rPr>
              <w:t>165</w:t>
            </w:r>
          </w:p>
        </w:tc>
        <w:tc>
          <w:tcPr>
            <w:tcW w:type="dxa" w:w="1080"/>
          </w:tcPr>
          <w:p>
            <w:r>
              <w:rPr>
                <w:sz w:val="18"/>
              </w:rPr>
              <w:t>139–223</w:t>
            </w:r>
          </w:p>
        </w:tc>
        <w:tc>
          <w:tcPr>
            <w:tcW w:type="dxa" w:w="1080"/>
          </w:tcPr>
          <w:p>
            <w:r>
              <w:rPr>
                <w:sz w:val="18"/>
              </w:rPr>
              <w:t>carência + ramp; obras absorvem a produção</w:t>
            </w:r>
          </w:p>
        </w:tc>
      </w:tr>
      <w:tr>
        <w:tc>
          <w:tcPr>
            <w:tcW w:type="dxa" w:w="1080"/>
          </w:tcPr>
          <w:p>
            <w:r>
              <w:rPr>
                <w:sz w:val="18"/>
              </w:rPr>
              <w:t>2</w:t>
            </w:r>
          </w:p>
        </w:tc>
        <w:tc>
          <w:tcPr>
            <w:tcW w:type="dxa" w:w="1080"/>
          </w:tcPr>
          <w:p>
            <w:r>
              <w:rPr>
                <w:sz w:val="18"/>
              </w:rPr>
              <w:t>126</w:t>
            </w:r>
          </w:p>
        </w:tc>
        <w:tc>
          <w:tcPr>
            <w:tcW w:type="dxa" w:w="1080"/>
          </w:tcPr>
          <w:p>
            <w:r>
              <w:rPr>
                <w:sz w:val="18"/>
              </w:rPr>
              <w:t>116</w:t>
            </w:r>
          </w:p>
        </w:tc>
        <w:tc>
          <w:tcPr>
            <w:tcW w:type="dxa" w:w="1080"/>
          </w:tcPr>
          <w:p>
            <w:r>
              <w:rPr>
                <w:sz w:val="18"/>
              </w:rPr>
              <w:t>135</w:t>
            </w:r>
          </w:p>
        </w:tc>
        <w:tc>
          <w:tcPr>
            <w:tcW w:type="dxa" w:w="1080"/>
          </w:tcPr>
          <w:p>
            <w:r>
              <w:rPr>
                <w:sz w:val="18"/>
              </w:rPr>
              <w:t>165–185</w:t>
            </w:r>
          </w:p>
        </w:tc>
        <w:tc>
          <w:tcPr>
            <w:tcW w:type="dxa" w:w="1080"/>
          </w:tcPr>
          <w:p>
            <w:r>
              <w:rPr>
                <w:sz w:val="18"/>
              </w:rPr>
              <w:t>174</w:t>
            </w:r>
          </w:p>
        </w:tc>
        <w:tc>
          <w:tcPr>
            <w:tcW w:type="dxa" w:w="1080"/>
          </w:tcPr>
          <w:p>
            <w:r>
              <w:rPr>
                <w:sz w:val="18"/>
              </w:rPr>
              <w:t>139–223</w:t>
            </w:r>
          </w:p>
        </w:tc>
        <w:tc>
          <w:tcPr>
            <w:tcW w:type="dxa" w:w="1080"/>
          </w:tcPr>
          <w:p>
            <w:r>
              <w:rPr>
                <w:sz w:val="18"/>
              </w:rPr>
              <w:t>carência + ramp; obras absorvem a produção</w:t>
            </w:r>
          </w:p>
        </w:tc>
      </w:tr>
      <w:tr>
        <w:tc>
          <w:tcPr>
            <w:tcW w:type="dxa" w:w="1080"/>
          </w:tcPr>
          <w:p>
            <w:r>
              <w:rPr>
                <w:sz w:val="18"/>
              </w:rPr>
              <w:t>3</w:t>
            </w:r>
          </w:p>
        </w:tc>
        <w:tc>
          <w:tcPr>
            <w:tcW w:type="dxa" w:w="1080"/>
          </w:tcPr>
          <w:p>
            <w:r>
              <w:rPr>
                <w:sz w:val="18"/>
              </w:rPr>
              <w:t>238</w:t>
            </w:r>
          </w:p>
        </w:tc>
        <w:tc>
          <w:tcPr>
            <w:tcW w:type="dxa" w:w="1080"/>
          </w:tcPr>
          <w:p>
            <w:r>
              <w:rPr>
                <w:sz w:val="18"/>
              </w:rPr>
              <w:t>174</w:t>
            </w:r>
          </w:p>
        </w:tc>
        <w:tc>
          <w:tcPr>
            <w:tcW w:type="dxa" w:w="1080"/>
          </w:tcPr>
          <w:p>
            <w:r>
              <w:rPr>
                <w:sz w:val="18"/>
              </w:rPr>
              <w:t>210</w:t>
            </w:r>
          </w:p>
        </w:tc>
        <w:tc>
          <w:tcPr>
            <w:tcW w:type="dxa" w:w="1080"/>
          </w:tcPr>
          <w:p>
            <w:r>
              <w:rPr>
                <w:sz w:val="18"/>
              </w:rPr>
              <w:t>165–185</w:t>
            </w:r>
          </w:p>
        </w:tc>
        <w:tc>
          <w:tcPr>
            <w:tcW w:type="dxa" w:w="1080"/>
          </w:tcPr>
          <w:p>
            <w:r>
              <w:rPr>
                <w:sz w:val="18"/>
              </w:rPr>
              <w:t>182</w:t>
            </w:r>
          </w:p>
        </w:tc>
        <w:tc>
          <w:tcPr>
            <w:tcW w:type="dxa" w:w="1080"/>
          </w:tcPr>
          <w:p>
            <w:r>
              <w:rPr>
                <w:sz w:val="18"/>
              </w:rPr>
              <w:t>139–223</w:t>
            </w:r>
          </w:p>
        </w:tc>
        <w:tc>
          <w:tcPr>
            <w:tcW w:type="dxa" w:w="1080"/>
          </w:tcPr>
          <w:p>
            <w:r>
              <w:rPr>
                <w:sz w:val="18"/>
              </w:rPr>
              <w:t>pico do serviço da dívida</w:t>
            </w:r>
          </w:p>
        </w:tc>
      </w:tr>
      <w:tr>
        <w:tc>
          <w:tcPr>
            <w:tcW w:type="dxa" w:w="1080"/>
          </w:tcPr>
          <w:p>
            <w:r>
              <w:rPr>
                <w:sz w:val="18"/>
              </w:rPr>
              <w:t>4</w:t>
            </w:r>
          </w:p>
        </w:tc>
        <w:tc>
          <w:tcPr>
            <w:tcW w:type="dxa" w:w="1080"/>
          </w:tcPr>
          <w:p>
            <w:r>
              <w:rPr>
                <w:sz w:val="18"/>
              </w:rPr>
              <w:t>238</w:t>
            </w:r>
          </w:p>
        </w:tc>
        <w:tc>
          <w:tcPr>
            <w:tcW w:type="dxa" w:w="1080"/>
          </w:tcPr>
          <w:p>
            <w:r>
              <w:rPr>
                <w:sz w:val="18"/>
              </w:rPr>
              <w:t>174</w:t>
            </w:r>
          </w:p>
        </w:tc>
        <w:tc>
          <w:tcPr>
            <w:tcW w:type="dxa" w:w="1080"/>
          </w:tcPr>
          <w:p>
            <w:r>
              <w:rPr>
                <w:sz w:val="18"/>
              </w:rPr>
              <w:t>208</w:t>
            </w:r>
          </w:p>
        </w:tc>
        <w:tc>
          <w:tcPr>
            <w:tcW w:type="dxa" w:w="1080"/>
          </w:tcPr>
          <w:p>
            <w:r>
              <w:rPr>
                <w:sz w:val="18"/>
              </w:rPr>
              <w:t>165–185</w:t>
            </w:r>
          </w:p>
        </w:tc>
        <w:tc>
          <w:tcPr>
            <w:tcW w:type="dxa" w:w="1080"/>
          </w:tcPr>
          <w:p>
            <w:r>
              <w:rPr>
                <w:sz w:val="18"/>
              </w:rPr>
              <w:t>191</w:t>
            </w:r>
          </w:p>
        </w:tc>
        <w:tc>
          <w:tcPr>
            <w:tcW w:type="dxa" w:w="1080"/>
          </w:tcPr>
          <w:p>
            <w:r>
              <w:rPr>
                <w:sz w:val="18"/>
              </w:rPr>
              <w:t>139–223</w:t>
            </w:r>
          </w:p>
        </w:tc>
        <w:tc>
          <w:tcPr>
            <w:tcW w:type="dxa" w:w="1080"/>
          </w:tcPr>
          <w:p>
            <w:r>
              <w:rPr>
                <w:sz w:val="18"/>
              </w:rPr>
              <w:t>janela de obras cobre o piso ~10×</w:t>
            </w:r>
          </w:p>
        </w:tc>
      </w:tr>
      <w:tr>
        <w:tc>
          <w:tcPr>
            <w:tcW w:type="dxa" w:w="1080"/>
          </w:tcPr>
          <w:p>
            <w:r>
              <w:rPr>
                <w:sz w:val="18"/>
              </w:rPr>
              <w:t>5</w:t>
            </w:r>
          </w:p>
        </w:tc>
        <w:tc>
          <w:tcPr>
            <w:tcW w:type="dxa" w:w="1080"/>
          </w:tcPr>
          <w:p>
            <w:r>
              <w:rPr>
                <w:sz w:val="18"/>
              </w:rPr>
              <w:t>238</w:t>
            </w:r>
          </w:p>
        </w:tc>
        <w:tc>
          <w:tcPr>
            <w:tcW w:type="dxa" w:w="1080"/>
          </w:tcPr>
          <w:p>
            <w:r>
              <w:rPr>
                <w:sz w:val="18"/>
              </w:rPr>
              <w:t>169</w:t>
            </w:r>
          </w:p>
        </w:tc>
        <w:tc>
          <w:tcPr>
            <w:tcW w:type="dxa" w:w="1080"/>
          </w:tcPr>
          <w:p>
            <w:r>
              <w:rPr>
                <w:sz w:val="18"/>
              </w:rPr>
              <w:t>200</w:t>
            </w:r>
          </w:p>
        </w:tc>
        <w:tc>
          <w:tcPr>
            <w:tcW w:type="dxa" w:w="1080"/>
          </w:tcPr>
          <w:p>
            <w:r>
              <w:rPr>
                <w:sz w:val="18"/>
              </w:rPr>
              <w:t>165–185</w:t>
            </w:r>
          </w:p>
        </w:tc>
        <w:tc>
          <w:tcPr>
            <w:tcW w:type="dxa" w:w="1080"/>
          </w:tcPr>
          <w:p>
            <w:r>
              <w:rPr>
                <w:sz w:val="18"/>
              </w:rPr>
              <w:t>201</w:t>
            </w:r>
          </w:p>
        </w:tc>
        <w:tc>
          <w:tcPr>
            <w:tcW w:type="dxa" w:w="1080"/>
          </w:tcPr>
          <w:p>
            <w:r>
              <w:rPr>
                <w:sz w:val="18"/>
              </w:rPr>
              <w:t>cauda B1/B3*</w:t>
            </w:r>
          </w:p>
        </w:tc>
        <w:tc>
          <w:tcPr>
            <w:tcW w:type="dxa" w:w="1080"/>
          </w:tcPr>
          <w:p>
            <w:r>
              <w:rPr>
                <w:sz w:val="18"/>
              </w:rPr>
              <w:t>janela de obras cobre o piso ~10×</w:t>
            </w:r>
          </w:p>
        </w:tc>
      </w:tr>
      <w:tr>
        <w:tc>
          <w:tcPr>
            <w:tcW w:type="dxa" w:w="1080"/>
          </w:tcPr>
          <w:p>
            <w:r>
              <w:rPr>
                <w:sz w:val="18"/>
              </w:rPr>
              <w:t>6</w:t>
            </w:r>
          </w:p>
        </w:tc>
        <w:tc>
          <w:tcPr>
            <w:tcW w:type="dxa" w:w="1080"/>
          </w:tcPr>
          <w:p>
            <w:r>
              <w:rPr>
                <w:sz w:val="18"/>
              </w:rPr>
              <w:t>238</w:t>
            </w:r>
          </w:p>
        </w:tc>
        <w:tc>
          <w:tcPr>
            <w:tcW w:type="dxa" w:w="1080"/>
          </w:tcPr>
          <w:p>
            <w:r>
              <w:rPr>
                <w:sz w:val="18"/>
              </w:rPr>
              <w:t>164</w:t>
            </w:r>
          </w:p>
        </w:tc>
        <w:tc>
          <w:tcPr>
            <w:tcW w:type="dxa" w:w="1080"/>
          </w:tcPr>
          <w:p>
            <w:r>
              <w:rPr>
                <w:sz w:val="18"/>
              </w:rPr>
              <w:t>193</w:t>
            </w:r>
          </w:p>
        </w:tc>
        <w:tc>
          <w:tcPr>
            <w:tcW w:type="dxa" w:w="1080"/>
          </w:tcPr>
          <w:p>
            <w:r>
              <w:rPr>
                <w:sz w:val="18"/>
              </w:rPr>
              <w:t>165–185</w:t>
            </w:r>
          </w:p>
        </w:tc>
        <w:tc>
          <w:tcPr>
            <w:tcW w:type="dxa" w:w="1080"/>
          </w:tcPr>
          <w:p>
            <w:r>
              <w:rPr>
                <w:sz w:val="18"/>
              </w:rPr>
              <w:t>211</w:t>
            </w:r>
          </w:p>
        </w:tc>
        <w:tc>
          <w:tcPr>
            <w:tcW w:type="dxa" w:w="1080"/>
          </w:tcPr>
          <w:p>
            <w:r>
              <w:rPr>
                <w:sz w:val="18"/>
              </w:rPr>
              <w:t>cauda B1/B3*</w:t>
            </w:r>
          </w:p>
        </w:tc>
        <w:tc>
          <w:tcPr>
            <w:tcW w:type="dxa" w:w="1080"/>
          </w:tcPr>
          <w:p>
            <w:r>
              <w:rPr>
                <w:sz w:val="18"/>
              </w:rPr>
              <w:t>piso recorrente cobre o mínimo sozinho</w:t>
            </w:r>
          </w:p>
        </w:tc>
      </w:tr>
      <w:tr>
        <w:tc>
          <w:tcPr>
            <w:tcW w:type="dxa" w:w="1080"/>
          </w:tcPr>
          <w:p>
            <w:r>
              <w:rPr>
                <w:sz w:val="18"/>
              </w:rPr>
              <w:t>7</w:t>
            </w:r>
          </w:p>
        </w:tc>
        <w:tc>
          <w:tcPr>
            <w:tcW w:type="dxa" w:w="1080"/>
          </w:tcPr>
          <w:p>
            <w:r>
              <w:rPr>
                <w:sz w:val="18"/>
              </w:rPr>
              <w:t>238</w:t>
            </w:r>
          </w:p>
        </w:tc>
        <w:tc>
          <w:tcPr>
            <w:tcW w:type="dxa" w:w="1080"/>
          </w:tcPr>
          <w:p>
            <w:r>
              <w:rPr>
                <w:sz w:val="18"/>
              </w:rPr>
              <w:t>159</w:t>
            </w:r>
          </w:p>
        </w:tc>
        <w:tc>
          <w:tcPr>
            <w:tcW w:type="dxa" w:w="1080"/>
          </w:tcPr>
          <w:p>
            <w:r>
              <w:rPr>
                <w:sz w:val="18"/>
              </w:rPr>
              <w:t>186</w:t>
            </w:r>
          </w:p>
        </w:tc>
        <w:tc>
          <w:tcPr>
            <w:tcW w:type="dxa" w:w="1080"/>
          </w:tcPr>
          <w:p>
            <w:r>
              <w:rPr>
                <w:sz w:val="18"/>
              </w:rPr>
              <w:t>165–185</w:t>
            </w:r>
          </w:p>
        </w:tc>
        <w:tc>
          <w:tcPr>
            <w:tcW w:type="dxa" w:w="1080"/>
          </w:tcPr>
          <w:p>
            <w:r>
              <w:rPr>
                <w:sz w:val="18"/>
              </w:rPr>
              <w:t>222</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8</w:t>
            </w:r>
          </w:p>
        </w:tc>
        <w:tc>
          <w:tcPr>
            <w:tcW w:type="dxa" w:w="1080"/>
          </w:tcPr>
          <w:p>
            <w:r>
              <w:rPr>
                <w:sz w:val="18"/>
              </w:rPr>
              <w:t>238</w:t>
            </w:r>
          </w:p>
        </w:tc>
        <w:tc>
          <w:tcPr>
            <w:tcW w:type="dxa" w:w="1080"/>
          </w:tcPr>
          <w:p>
            <w:r>
              <w:rPr>
                <w:sz w:val="18"/>
              </w:rPr>
              <w:t>153</w:t>
            </w:r>
          </w:p>
        </w:tc>
        <w:tc>
          <w:tcPr>
            <w:tcW w:type="dxa" w:w="1080"/>
          </w:tcPr>
          <w:p>
            <w:r>
              <w:rPr>
                <w:sz w:val="18"/>
              </w:rPr>
              <w:t>179</w:t>
            </w:r>
          </w:p>
        </w:tc>
        <w:tc>
          <w:tcPr>
            <w:tcW w:type="dxa" w:w="1080"/>
          </w:tcPr>
          <w:p>
            <w:r>
              <w:rPr>
                <w:sz w:val="18"/>
              </w:rPr>
              <w:t>165–185</w:t>
            </w:r>
          </w:p>
        </w:tc>
        <w:tc>
          <w:tcPr>
            <w:tcW w:type="dxa" w:w="1080"/>
          </w:tcPr>
          <w:p>
            <w:r>
              <w:rPr>
                <w:sz w:val="18"/>
              </w:rPr>
              <w:t>233</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9</w:t>
            </w:r>
          </w:p>
        </w:tc>
        <w:tc>
          <w:tcPr>
            <w:tcW w:type="dxa" w:w="1080"/>
          </w:tcPr>
          <w:p>
            <w:r>
              <w:rPr>
                <w:sz w:val="18"/>
              </w:rPr>
              <w:t>238</w:t>
            </w:r>
          </w:p>
        </w:tc>
        <w:tc>
          <w:tcPr>
            <w:tcW w:type="dxa" w:w="1080"/>
          </w:tcPr>
          <w:p>
            <w:r>
              <w:rPr>
                <w:sz w:val="18"/>
              </w:rPr>
              <w:t>148</w:t>
            </w:r>
          </w:p>
        </w:tc>
        <w:tc>
          <w:tcPr>
            <w:tcW w:type="dxa" w:w="1080"/>
          </w:tcPr>
          <w:p>
            <w:r>
              <w:rPr>
                <w:sz w:val="18"/>
              </w:rPr>
              <w:t>173</w:t>
            </w:r>
          </w:p>
        </w:tc>
        <w:tc>
          <w:tcPr>
            <w:tcW w:type="dxa" w:w="1080"/>
          </w:tcPr>
          <w:p>
            <w:r>
              <w:rPr>
                <w:sz w:val="18"/>
              </w:rPr>
              <w:t>165–185</w:t>
            </w:r>
          </w:p>
        </w:tc>
        <w:tc>
          <w:tcPr>
            <w:tcW w:type="dxa" w:w="1080"/>
          </w:tcPr>
          <w:p>
            <w:r>
              <w:rPr>
                <w:sz w:val="18"/>
              </w:rPr>
              <w:t>244</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10</w:t>
            </w:r>
          </w:p>
        </w:tc>
        <w:tc>
          <w:tcPr>
            <w:tcW w:type="dxa" w:w="1080"/>
          </w:tcPr>
          <w:p>
            <w:r>
              <w:rPr>
                <w:sz w:val="18"/>
              </w:rPr>
              <w:t>238</w:t>
            </w:r>
          </w:p>
        </w:tc>
        <w:tc>
          <w:tcPr>
            <w:tcW w:type="dxa" w:w="1080"/>
          </w:tcPr>
          <w:p>
            <w:r>
              <w:rPr>
                <w:sz w:val="18"/>
              </w:rPr>
              <w:t>143</w:t>
            </w:r>
          </w:p>
        </w:tc>
        <w:tc>
          <w:tcPr>
            <w:tcW w:type="dxa" w:w="1080"/>
          </w:tcPr>
          <w:p>
            <w:r>
              <w:rPr>
                <w:sz w:val="18"/>
              </w:rPr>
              <w:t>166</w:t>
            </w:r>
          </w:p>
        </w:tc>
        <w:tc>
          <w:tcPr>
            <w:tcW w:type="dxa" w:w="1080"/>
          </w:tcPr>
          <w:p>
            <w:r>
              <w:rPr>
                <w:sz w:val="18"/>
              </w:rPr>
              <w:t>165–185</w:t>
            </w:r>
          </w:p>
        </w:tc>
        <w:tc>
          <w:tcPr>
            <w:tcW w:type="dxa" w:w="1080"/>
          </w:tcPr>
          <w:p>
            <w:r>
              <w:rPr>
                <w:sz w:val="18"/>
              </w:rPr>
              <w:t>256</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11</w:t>
            </w:r>
          </w:p>
        </w:tc>
        <w:tc>
          <w:tcPr>
            <w:tcW w:type="dxa" w:w="1080"/>
          </w:tcPr>
          <w:p>
            <w:r>
              <w:rPr>
                <w:sz w:val="18"/>
              </w:rPr>
              <w:t>238</w:t>
            </w:r>
          </w:p>
        </w:tc>
        <w:tc>
          <w:tcPr>
            <w:tcW w:type="dxa" w:w="1080"/>
          </w:tcPr>
          <w:p>
            <w:r>
              <w:rPr>
                <w:sz w:val="18"/>
              </w:rPr>
              <w:t>138</w:t>
            </w:r>
          </w:p>
        </w:tc>
        <w:tc>
          <w:tcPr>
            <w:tcW w:type="dxa" w:w="1080"/>
          </w:tcPr>
          <w:p>
            <w:r>
              <w:rPr>
                <w:sz w:val="18"/>
              </w:rPr>
              <w:t>159</w:t>
            </w:r>
          </w:p>
        </w:tc>
        <w:tc>
          <w:tcPr>
            <w:tcW w:type="dxa" w:w="1080"/>
          </w:tcPr>
          <w:p>
            <w:r>
              <w:rPr>
                <w:sz w:val="18"/>
              </w:rPr>
              <w:t>165–185</w:t>
            </w:r>
          </w:p>
        </w:tc>
        <w:tc>
          <w:tcPr>
            <w:tcW w:type="dxa" w:w="1080"/>
          </w:tcPr>
          <w:p>
            <w:r>
              <w:rPr>
                <w:sz w:val="18"/>
              </w:rPr>
              <w:t>269</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12</w:t>
            </w:r>
          </w:p>
        </w:tc>
        <w:tc>
          <w:tcPr>
            <w:tcW w:type="dxa" w:w="1080"/>
          </w:tcPr>
          <w:p>
            <w:r>
              <w:rPr>
                <w:sz w:val="18"/>
              </w:rPr>
              <w:t>238</w:t>
            </w:r>
          </w:p>
        </w:tc>
        <w:tc>
          <w:tcPr>
            <w:tcW w:type="dxa" w:w="1080"/>
          </w:tcPr>
          <w:p>
            <w:r>
              <w:rPr>
                <w:sz w:val="18"/>
              </w:rPr>
              <w:t>133</w:t>
            </w:r>
          </w:p>
        </w:tc>
        <w:tc>
          <w:tcPr>
            <w:tcW w:type="dxa" w:w="1080"/>
          </w:tcPr>
          <w:p>
            <w:r>
              <w:rPr>
                <w:sz w:val="18"/>
              </w:rPr>
              <w:t>152</w:t>
            </w:r>
          </w:p>
        </w:tc>
        <w:tc>
          <w:tcPr>
            <w:tcW w:type="dxa" w:w="1080"/>
          </w:tcPr>
          <w:p>
            <w:r>
              <w:rPr>
                <w:sz w:val="18"/>
              </w:rPr>
              <w:t>165–185</w:t>
            </w:r>
          </w:p>
        </w:tc>
        <w:tc>
          <w:tcPr>
            <w:tcW w:type="dxa" w:w="1080"/>
          </w:tcPr>
          <w:p>
            <w:r>
              <w:rPr>
                <w:sz w:val="18"/>
              </w:rPr>
              <w:t>283</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13</w:t>
            </w:r>
          </w:p>
        </w:tc>
        <w:tc>
          <w:tcPr>
            <w:tcW w:type="dxa" w:w="1080"/>
          </w:tcPr>
          <w:p>
            <w:r>
              <w:rPr>
                <w:sz w:val="18"/>
              </w:rPr>
              <w:t>238</w:t>
            </w:r>
          </w:p>
        </w:tc>
        <w:tc>
          <w:tcPr>
            <w:tcW w:type="dxa" w:w="1080"/>
          </w:tcPr>
          <w:p>
            <w:r>
              <w:rPr>
                <w:sz w:val="18"/>
              </w:rPr>
              <w:t>127</w:t>
            </w:r>
          </w:p>
        </w:tc>
        <w:tc>
          <w:tcPr>
            <w:tcW w:type="dxa" w:w="1080"/>
          </w:tcPr>
          <w:p>
            <w:r>
              <w:rPr>
                <w:sz w:val="18"/>
              </w:rPr>
              <w:t>146</w:t>
            </w:r>
          </w:p>
        </w:tc>
        <w:tc>
          <w:tcPr>
            <w:tcW w:type="dxa" w:w="1080"/>
          </w:tcPr>
          <w:p>
            <w:r>
              <w:rPr>
                <w:sz w:val="18"/>
              </w:rPr>
              <w:t>165–185</w:t>
            </w:r>
          </w:p>
        </w:tc>
        <w:tc>
          <w:tcPr>
            <w:tcW w:type="dxa" w:w="1080"/>
          </w:tcPr>
          <w:p>
            <w:r>
              <w:rPr>
                <w:sz w:val="18"/>
              </w:rPr>
              <w:t>297</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14</w:t>
            </w:r>
          </w:p>
        </w:tc>
        <w:tc>
          <w:tcPr>
            <w:tcW w:type="dxa" w:w="1080"/>
          </w:tcPr>
          <w:p>
            <w:r>
              <w:rPr>
                <w:sz w:val="18"/>
              </w:rPr>
              <w:t>238</w:t>
            </w:r>
          </w:p>
        </w:tc>
        <w:tc>
          <w:tcPr>
            <w:tcW w:type="dxa" w:w="1080"/>
          </w:tcPr>
          <w:p>
            <w:r>
              <w:rPr>
                <w:sz w:val="18"/>
              </w:rPr>
              <w:t>122</w:t>
            </w:r>
          </w:p>
        </w:tc>
        <w:tc>
          <w:tcPr>
            <w:tcW w:type="dxa" w:w="1080"/>
          </w:tcPr>
          <w:p>
            <w:r>
              <w:rPr>
                <w:sz w:val="18"/>
              </w:rPr>
              <w:t>139</w:t>
            </w:r>
          </w:p>
        </w:tc>
        <w:tc>
          <w:tcPr>
            <w:tcW w:type="dxa" w:w="1080"/>
          </w:tcPr>
          <w:p>
            <w:r>
              <w:rPr>
                <w:sz w:val="18"/>
              </w:rPr>
              <w:t>165–185</w:t>
            </w:r>
          </w:p>
        </w:tc>
        <w:tc>
          <w:tcPr>
            <w:tcW w:type="dxa" w:w="1080"/>
          </w:tcPr>
          <w:p>
            <w:r>
              <w:rPr>
                <w:sz w:val="18"/>
              </w:rPr>
              <w:t>312</w:t>
            </w:r>
          </w:p>
        </w:tc>
        <w:tc>
          <w:tcPr>
            <w:tcW w:type="dxa" w:w="1080"/>
          </w:tcPr>
          <w:p>
            <w:r>
              <w:rPr>
                <w:sz w:val="18"/>
              </w:rPr>
              <w:t>—</w:t>
            </w:r>
          </w:p>
        </w:tc>
        <w:tc>
          <w:tcPr>
            <w:tcW w:type="dxa" w:w="1080"/>
          </w:tcPr>
          <w:p>
            <w:r>
              <w:rPr>
                <w:sz w:val="18"/>
              </w:rPr>
              <w:t>piso recorrente cobre até o recomendado</w:t>
            </w:r>
          </w:p>
        </w:tc>
      </w:tr>
    </w:tbl>
    <w:p>
      <w:pPr>
        <w:spacing w:after="120"/>
      </w:pPr>
      <w:r>
        <w:rPr>
          <w:b w:val="0"/>
          <w:i/>
          <w:color w:val="595959"/>
          <w:sz w:val="18"/>
        </w:rPr>
        <w:t>*A cauda contratual da Bacia 1 (1.620 dias a partir da ordem de serviço) e a Bacia 3, ainda por licitar, avançam pelos anos 5–6 — o degrau de saída da janela é suavizado por contrato, não por hipótese. “Captura com vegetativo” aplica à captura de piso o crescimento setorial de ~5% a.a. (ANEPAC), premissa declarada. NENHUMA coluna deste exhibit depende de Guriri: o inventário do §3 é estoque não contabilizado, e a razão de não lhe atribuirmos cronograma está no §3.5. Todas as colunas em mil t/ano.</w:t>
      </w:r>
    </w:p>
    <w:p>
      <w:pPr>
        <w:spacing w:after="120" w:before="160"/>
      </w:pPr>
      <w:r>
        <w:rPr>
          <w:b/>
          <w:i w:val="0"/>
          <w:sz w:val="22"/>
        </w:rPr>
        <w:t>As quatro conclusões numéricas</w:t>
      </w:r>
    </w:p>
    <w:p>
      <w:pPr>
        <w:spacing w:after="120"/>
      </w:pPr>
      <w:r>
        <w:rPr>
          <w:b w:val="0"/>
          <w:i w:val="0"/>
        </w:rPr>
        <w:t>(i) Sobrevivência não exige o platô: a produção que quita a dívida com DSCR 1,0 é de 174 mil t no pior ano, decrescendo até 122 mil t — o platô de 237,5 mil t carrega folga de DSCR 1,53. (ii) A captura recorrente (165–185 mil t/ano) cobre o mínimo pelo piso a partir do ano 6; nos anos 3–5, o déficit do piso é de apenas 3,7 a 8,9 mil t/ano — menos de 6% — contra 139–223 mil t/ano de obras contratadas correndo nesses mesmos anos. (iii) A janela de obras coincide com carência, ramp-up e pico do serviço: os anos que mais exigem são os anos com mais lastro. (iv) Contra o RECOMENDADO (DSCR 1,3), o gap do piso encolhe de 44 mil t/ano (ano 3) a 0,6 mil (ano 10; 583 t exatas) e zera no ano 11; quem o cobre, nomeadamente: as obras CONTRATADAS (anos 3–5), o crescimento vegetativo do setor (~5% a.a. ANEPAC) e os loteamentos privados contínuos — sem contar Fundo Cidades, Sítio Histórico, Mercado Municipal e o programa da concessão da BR-101, contratado até 2048.</w:t>
      </w:r>
    </w:p>
    <w:p>
      <w:pPr>
        <w:spacing w:after="120"/>
      </w:pPr>
      <w:r>
        <w:rPr>
          <w:b w:val="0"/>
          <w:i w:val="0"/>
        </w:rPr>
        <w:t>E aqui está o ponto que decide a objeção. Aplicando o crescimento vegetativo à captura de PISO — sem uma tonelada de Guriri e sem nenhuma premissa nossa sobre pavimentação futura — a cobertura fecha em todos os catorze anos: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Ano</w:t>
            </w:r>
          </w:p>
        </w:tc>
        <w:tc>
          <w:tcPr>
            <w:tcW w:type="dxa" w:w="2160"/>
          </w:tcPr>
          <w:p>
            <w:r>
              <w:rPr>
                <w:b/>
                <w:sz w:val="18"/>
              </w:rPr>
              <w:t>Exigido (DSCR 1,3)</w:t>
            </w:r>
          </w:p>
        </w:tc>
        <w:tc>
          <w:tcPr>
            <w:tcW w:type="dxa" w:w="2160"/>
          </w:tcPr>
          <w:p>
            <w:r>
              <w:rPr>
                <w:b/>
                <w:sz w:val="18"/>
              </w:rPr>
              <w:t>Captura de piso com vegetativo</w:t>
            </w:r>
          </w:p>
        </w:tc>
        <w:tc>
          <w:tcPr>
            <w:tcW w:type="dxa" w:w="2160"/>
          </w:tcPr>
          <w:p>
            <w:r>
              <w:rPr>
                <w:b/>
                <w:sz w:val="18"/>
              </w:rPr>
              <w:t>Situação</w:t>
            </w:r>
          </w:p>
        </w:tc>
      </w:tr>
      <w:tr>
        <w:tc>
          <w:tcPr>
            <w:tcW w:type="dxa" w:w="2160"/>
          </w:tcPr>
          <w:p>
            <w:r>
              <w:rPr>
                <w:sz w:val="18"/>
              </w:rPr>
              <w:t>1</w:t>
            </w:r>
          </w:p>
        </w:tc>
        <w:tc>
          <w:tcPr>
            <w:tcW w:type="dxa" w:w="2160"/>
          </w:tcPr>
          <w:p>
            <w:r>
              <w:rPr>
                <w:sz w:val="18"/>
              </w:rPr>
              <w:t>126</w:t>
            </w:r>
          </w:p>
        </w:tc>
        <w:tc>
          <w:tcPr>
            <w:tcW w:type="dxa" w:w="2160"/>
          </w:tcPr>
          <w:p>
            <w:r>
              <w:rPr>
                <w:sz w:val="18"/>
              </w:rPr>
              <w:t>165</w:t>
            </w:r>
          </w:p>
        </w:tc>
        <w:tc>
          <w:tcPr>
            <w:tcW w:type="dxa" w:w="2160"/>
          </w:tcPr>
          <w:p>
            <w:r>
              <w:rPr>
                <w:sz w:val="18"/>
              </w:rPr>
              <w:t>coberto — carência</w:t>
            </w:r>
          </w:p>
        </w:tc>
      </w:tr>
      <w:tr>
        <w:tc>
          <w:tcPr>
            <w:tcW w:type="dxa" w:w="2160"/>
          </w:tcPr>
          <w:p>
            <w:r>
              <w:rPr>
                <w:sz w:val="18"/>
              </w:rPr>
              <w:t>2</w:t>
            </w:r>
          </w:p>
        </w:tc>
        <w:tc>
          <w:tcPr>
            <w:tcW w:type="dxa" w:w="2160"/>
          </w:tcPr>
          <w:p>
            <w:r>
              <w:rPr>
                <w:sz w:val="18"/>
              </w:rPr>
              <w:t>135</w:t>
            </w:r>
          </w:p>
        </w:tc>
        <w:tc>
          <w:tcPr>
            <w:tcW w:type="dxa" w:w="2160"/>
          </w:tcPr>
          <w:p>
            <w:r>
              <w:rPr>
                <w:sz w:val="18"/>
              </w:rPr>
              <w:t>174</w:t>
            </w:r>
          </w:p>
        </w:tc>
        <w:tc>
          <w:tcPr>
            <w:tcW w:type="dxa" w:w="2160"/>
          </w:tcPr>
          <w:p>
            <w:r>
              <w:rPr>
                <w:sz w:val="18"/>
              </w:rPr>
              <w:t>coberto — carência</w:t>
            </w:r>
          </w:p>
        </w:tc>
      </w:tr>
      <w:tr>
        <w:tc>
          <w:tcPr>
            <w:tcW w:type="dxa" w:w="2160"/>
          </w:tcPr>
          <w:p>
            <w:r>
              <w:rPr>
                <w:sz w:val="18"/>
              </w:rPr>
              <w:t>3</w:t>
            </w:r>
          </w:p>
        </w:tc>
        <w:tc>
          <w:tcPr>
            <w:tcW w:type="dxa" w:w="2160"/>
          </w:tcPr>
          <w:p>
            <w:r>
              <w:rPr>
                <w:sz w:val="18"/>
              </w:rPr>
              <w:t>210</w:t>
            </w:r>
          </w:p>
        </w:tc>
        <w:tc>
          <w:tcPr>
            <w:tcW w:type="dxa" w:w="2160"/>
          </w:tcPr>
          <w:p>
            <w:r>
              <w:rPr>
                <w:sz w:val="18"/>
              </w:rPr>
              <w:t>182</w:t>
            </w:r>
          </w:p>
        </w:tc>
        <w:tc>
          <w:tcPr>
            <w:tcW w:type="dxa" w:w="2160"/>
          </w:tcPr>
          <w:p>
            <w:r>
              <w:rPr>
                <w:sz w:val="18"/>
              </w:rPr>
              <w:t>gap de 27 mil t, contra 139–223 mil t/ano de obras contratadas</w:t>
            </w:r>
          </w:p>
        </w:tc>
      </w:tr>
      <w:tr>
        <w:tc>
          <w:tcPr>
            <w:tcW w:type="dxa" w:w="2160"/>
          </w:tcPr>
          <w:p>
            <w:r>
              <w:rPr>
                <w:sz w:val="18"/>
              </w:rPr>
              <w:t>4</w:t>
            </w:r>
          </w:p>
        </w:tc>
        <w:tc>
          <w:tcPr>
            <w:tcW w:type="dxa" w:w="2160"/>
          </w:tcPr>
          <w:p>
            <w:r>
              <w:rPr>
                <w:sz w:val="18"/>
              </w:rPr>
              <w:t>208</w:t>
            </w:r>
          </w:p>
        </w:tc>
        <w:tc>
          <w:tcPr>
            <w:tcW w:type="dxa" w:w="2160"/>
          </w:tcPr>
          <w:p>
            <w:r>
              <w:rPr>
                <w:sz w:val="18"/>
              </w:rPr>
              <w:t>191</w:t>
            </w:r>
          </w:p>
        </w:tc>
        <w:tc>
          <w:tcPr>
            <w:tcW w:type="dxa" w:w="2160"/>
          </w:tcPr>
          <w:p>
            <w:r>
              <w:rPr>
                <w:sz w:val="18"/>
              </w:rPr>
              <w:t>gap de 16 mil t, contra 139–223 mil t/ano de obras contratadas</w:t>
            </w:r>
          </w:p>
        </w:tc>
      </w:tr>
      <w:tr>
        <w:tc>
          <w:tcPr>
            <w:tcW w:type="dxa" w:w="2160"/>
          </w:tcPr>
          <w:p>
            <w:r>
              <w:rPr>
                <w:sz w:val="18"/>
              </w:rPr>
              <w:t>5</w:t>
            </w:r>
          </w:p>
        </w:tc>
        <w:tc>
          <w:tcPr>
            <w:tcW w:type="dxa" w:w="2160"/>
          </w:tcPr>
          <w:p>
            <w:r>
              <w:rPr>
                <w:sz w:val="18"/>
              </w:rPr>
              <w:t>200</w:t>
            </w:r>
          </w:p>
        </w:tc>
        <w:tc>
          <w:tcPr>
            <w:tcW w:type="dxa" w:w="2160"/>
          </w:tcPr>
          <w:p>
            <w:r>
              <w:rPr>
                <w:sz w:val="18"/>
              </w:rPr>
              <w:t>201</w:t>
            </w:r>
          </w:p>
        </w:tc>
        <w:tc>
          <w:tcPr>
            <w:tcW w:type="dxa" w:w="2160"/>
          </w:tcPr>
          <w:p>
            <w:r>
              <w:rPr>
                <w:sz w:val="18"/>
              </w:rPr>
              <w:t>captura recorrente cobre sozinha, com sobra de 1 mil t</w:t>
            </w:r>
          </w:p>
        </w:tc>
      </w:tr>
      <w:tr>
        <w:tc>
          <w:tcPr>
            <w:tcW w:type="dxa" w:w="2160"/>
          </w:tcPr>
          <w:p>
            <w:r>
              <w:rPr>
                <w:sz w:val="18"/>
              </w:rPr>
              <w:t>6</w:t>
            </w:r>
          </w:p>
        </w:tc>
        <w:tc>
          <w:tcPr>
            <w:tcW w:type="dxa" w:w="2160"/>
          </w:tcPr>
          <w:p>
            <w:r>
              <w:rPr>
                <w:sz w:val="18"/>
              </w:rPr>
              <w:t>193</w:t>
            </w:r>
          </w:p>
        </w:tc>
        <w:tc>
          <w:tcPr>
            <w:tcW w:type="dxa" w:w="2160"/>
          </w:tcPr>
          <w:p>
            <w:r>
              <w:rPr>
                <w:sz w:val="18"/>
              </w:rPr>
              <w:t>211</w:t>
            </w:r>
          </w:p>
        </w:tc>
        <w:tc>
          <w:tcPr>
            <w:tcW w:type="dxa" w:w="2160"/>
          </w:tcPr>
          <w:p>
            <w:r>
              <w:rPr>
                <w:sz w:val="18"/>
              </w:rPr>
              <w:t>captura recorrente cobre sozinha, com sobra de 18 mil t</w:t>
            </w:r>
          </w:p>
        </w:tc>
      </w:tr>
      <w:tr>
        <w:tc>
          <w:tcPr>
            <w:tcW w:type="dxa" w:w="2160"/>
          </w:tcPr>
          <w:p>
            <w:r>
              <w:rPr>
                <w:sz w:val="18"/>
              </w:rPr>
              <w:t>7</w:t>
            </w:r>
          </w:p>
        </w:tc>
        <w:tc>
          <w:tcPr>
            <w:tcW w:type="dxa" w:w="2160"/>
          </w:tcPr>
          <w:p>
            <w:r>
              <w:rPr>
                <w:sz w:val="18"/>
              </w:rPr>
              <w:t>186</w:t>
            </w:r>
          </w:p>
        </w:tc>
        <w:tc>
          <w:tcPr>
            <w:tcW w:type="dxa" w:w="2160"/>
          </w:tcPr>
          <w:p>
            <w:r>
              <w:rPr>
                <w:sz w:val="18"/>
              </w:rPr>
              <w:t>222</w:t>
            </w:r>
          </w:p>
        </w:tc>
        <w:tc>
          <w:tcPr>
            <w:tcW w:type="dxa" w:w="2160"/>
          </w:tcPr>
          <w:p>
            <w:r>
              <w:rPr>
                <w:sz w:val="18"/>
              </w:rPr>
              <w:t>captura recorrente cobre sozinha, com sobra de 35 mil t</w:t>
            </w:r>
          </w:p>
        </w:tc>
      </w:tr>
      <w:tr>
        <w:tc>
          <w:tcPr>
            <w:tcW w:type="dxa" w:w="2160"/>
          </w:tcPr>
          <w:p>
            <w:r>
              <w:rPr>
                <w:sz w:val="18"/>
              </w:rPr>
              <w:t>8</w:t>
            </w:r>
          </w:p>
        </w:tc>
        <w:tc>
          <w:tcPr>
            <w:tcW w:type="dxa" w:w="2160"/>
          </w:tcPr>
          <w:p>
            <w:r>
              <w:rPr>
                <w:sz w:val="18"/>
              </w:rPr>
              <w:t>179</w:t>
            </w:r>
          </w:p>
        </w:tc>
        <w:tc>
          <w:tcPr>
            <w:tcW w:type="dxa" w:w="2160"/>
          </w:tcPr>
          <w:p>
            <w:r>
              <w:rPr>
                <w:sz w:val="18"/>
              </w:rPr>
              <w:t>233</w:t>
            </w:r>
          </w:p>
        </w:tc>
        <w:tc>
          <w:tcPr>
            <w:tcW w:type="dxa" w:w="2160"/>
          </w:tcPr>
          <w:p>
            <w:r>
              <w:rPr>
                <w:sz w:val="18"/>
              </w:rPr>
              <w:t>captura recorrente cobre sozinha, com sobra de 53 mil t</w:t>
            </w:r>
          </w:p>
        </w:tc>
      </w:tr>
      <w:tr>
        <w:tc>
          <w:tcPr>
            <w:tcW w:type="dxa" w:w="2160"/>
          </w:tcPr>
          <w:p>
            <w:r>
              <w:rPr>
                <w:sz w:val="18"/>
              </w:rPr>
              <w:t>9</w:t>
            </w:r>
          </w:p>
        </w:tc>
        <w:tc>
          <w:tcPr>
            <w:tcW w:type="dxa" w:w="2160"/>
          </w:tcPr>
          <w:p>
            <w:r>
              <w:rPr>
                <w:sz w:val="18"/>
              </w:rPr>
              <w:t>173</w:t>
            </w:r>
          </w:p>
        </w:tc>
        <w:tc>
          <w:tcPr>
            <w:tcW w:type="dxa" w:w="2160"/>
          </w:tcPr>
          <w:p>
            <w:r>
              <w:rPr>
                <w:sz w:val="18"/>
              </w:rPr>
              <w:t>244</w:t>
            </w:r>
          </w:p>
        </w:tc>
        <w:tc>
          <w:tcPr>
            <w:tcW w:type="dxa" w:w="2160"/>
          </w:tcPr>
          <w:p>
            <w:r>
              <w:rPr>
                <w:sz w:val="18"/>
              </w:rPr>
              <w:t>captura recorrente cobre sozinha, com sobra de 72 mil t</w:t>
            </w:r>
          </w:p>
        </w:tc>
      </w:tr>
      <w:tr>
        <w:tc>
          <w:tcPr>
            <w:tcW w:type="dxa" w:w="2160"/>
          </w:tcPr>
          <w:p>
            <w:r>
              <w:rPr>
                <w:sz w:val="18"/>
              </w:rPr>
              <w:t>10</w:t>
            </w:r>
          </w:p>
        </w:tc>
        <w:tc>
          <w:tcPr>
            <w:tcW w:type="dxa" w:w="2160"/>
          </w:tcPr>
          <w:p>
            <w:r>
              <w:rPr>
                <w:sz w:val="18"/>
              </w:rPr>
              <w:t>166</w:t>
            </w:r>
          </w:p>
        </w:tc>
        <w:tc>
          <w:tcPr>
            <w:tcW w:type="dxa" w:w="2160"/>
          </w:tcPr>
          <w:p>
            <w:r>
              <w:rPr>
                <w:sz w:val="18"/>
              </w:rPr>
              <w:t>256</w:t>
            </w:r>
          </w:p>
        </w:tc>
        <w:tc>
          <w:tcPr>
            <w:tcW w:type="dxa" w:w="2160"/>
          </w:tcPr>
          <w:p>
            <w:r>
              <w:rPr>
                <w:sz w:val="18"/>
              </w:rPr>
              <w:t>captura recorrente cobre sozinha, com sobra de 91 mil t</w:t>
            </w:r>
          </w:p>
        </w:tc>
      </w:tr>
      <w:tr>
        <w:tc>
          <w:tcPr>
            <w:tcW w:type="dxa" w:w="2160"/>
          </w:tcPr>
          <w:p>
            <w:r>
              <w:rPr>
                <w:sz w:val="18"/>
              </w:rPr>
              <w:t>11</w:t>
            </w:r>
          </w:p>
        </w:tc>
        <w:tc>
          <w:tcPr>
            <w:tcW w:type="dxa" w:w="2160"/>
          </w:tcPr>
          <w:p>
            <w:r>
              <w:rPr>
                <w:sz w:val="18"/>
              </w:rPr>
              <w:t>159</w:t>
            </w:r>
          </w:p>
        </w:tc>
        <w:tc>
          <w:tcPr>
            <w:tcW w:type="dxa" w:w="2160"/>
          </w:tcPr>
          <w:p>
            <w:r>
              <w:rPr>
                <w:sz w:val="18"/>
              </w:rPr>
              <w:t>269</w:t>
            </w:r>
          </w:p>
        </w:tc>
        <w:tc>
          <w:tcPr>
            <w:tcW w:type="dxa" w:w="2160"/>
          </w:tcPr>
          <w:p>
            <w:r>
              <w:rPr>
                <w:sz w:val="18"/>
              </w:rPr>
              <w:t>captura recorrente cobre sozinha, com sobra de 110 mil t</w:t>
            </w:r>
          </w:p>
        </w:tc>
      </w:tr>
      <w:tr>
        <w:tc>
          <w:tcPr>
            <w:tcW w:type="dxa" w:w="2160"/>
          </w:tcPr>
          <w:p>
            <w:r>
              <w:rPr>
                <w:sz w:val="18"/>
              </w:rPr>
              <w:t>12</w:t>
            </w:r>
          </w:p>
        </w:tc>
        <w:tc>
          <w:tcPr>
            <w:tcW w:type="dxa" w:w="2160"/>
          </w:tcPr>
          <w:p>
            <w:r>
              <w:rPr>
                <w:sz w:val="18"/>
              </w:rPr>
              <w:t>152</w:t>
            </w:r>
          </w:p>
        </w:tc>
        <w:tc>
          <w:tcPr>
            <w:tcW w:type="dxa" w:w="2160"/>
          </w:tcPr>
          <w:p>
            <w:r>
              <w:rPr>
                <w:sz w:val="18"/>
              </w:rPr>
              <w:t>283</w:t>
            </w:r>
          </w:p>
        </w:tc>
        <w:tc>
          <w:tcPr>
            <w:tcW w:type="dxa" w:w="2160"/>
          </w:tcPr>
          <w:p>
            <w:r>
              <w:rPr>
                <w:sz w:val="18"/>
              </w:rPr>
              <w:t>captura recorrente cobre sozinha, com sobra de 130 mil t</w:t>
            </w:r>
          </w:p>
        </w:tc>
      </w:tr>
      <w:tr>
        <w:tc>
          <w:tcPr>
            <w:tcW w:type="dxa" w:w="2160"/>
          </w:tcPr>
          <w:p>
            <w:r>
              <w:rPr>
                <w:sz w:val="18"/>
              </w:rPr>
              <w:t>13</w:t>
            </w:r>
          </w:p>
        </w:tc>
        <w:tc>
          <w:tcPr>
            <w:tcW w:type="dxa" w:w="2160"/>
          </w:tcPr>
          <w:p>
            <w:r>
              <w:rPr>
                <w:sz w:val="18"/>
              </w:rPr>
              <w:t>146</w:t>
            </w:r>
          </w:p>
        </w:tc>
        <w:tc>
          <w:tcPr>
            <w:tcW w:type="dxa" w:w="2160"/>
          </w:tcPr>
          <w:p>
            <w:r>
              <w:rPr>
                <w:sz w:val="18"/>
              </w:rPr>
              <w:t>297</w:t>
            </w:r>
          </w:p>
        </w:tc>
        <w:tc>
          <w:tcPr>
            <w:tcW w:type="dxa" w:w="2160"/>
          </w:tcPr>
          <w:p>
            <w:r>
              <w:rPr>
                <w:sz w:val="18"/>
              </w:rPr>
              <w:t>captura recorrente cobre sozinha, com sobra de 151 mil t</w:t>
            </w:r>
          </w:p>
        </w:tc>
      </w:tr>
      <w:tr>
        <w:tc>
          <w:tcPr>
            <w:tcW w:type="dxa" w:w="2160"/>
          </w:tcPr>
          <w:p>
            <w:r>
              <w:rPr>
                <w:sz w:val="18"/>
              </w:rPr>
              <w:t>14</w:t>
            </w:r>
          </w:p>
        </w:tc>
        <w:tc>
          <w:tcPr>
            <w:tcW w:type="dxa" w:w="2160"/>
          </w:tcPr>
          <w:p>
            <w:r>
              <w:rPr>
                <w:sz w:val="18"/>
              </w:rPr>
              <w:t>139</w:t>
            </w:r>
          </w:p>
        </w:tc>
        <w:tc>
          <w:tcPr>
            <w:tcW w:type="dxa" w:w="2160"/>
          </w:tcPr>
          <w:p>
            <w:r>
              <w:rPr>
                <w:sz w:val="18"/>
              </w:rPr>
              <w:t>312</w:t>
            </w:r>
          </w:p>
        </w:tc>
        <w:tc>
          <w:tcPr>
            <w:tcW w:type="dxa" w:w="2160"/>
          </w:tcPr>
          <w:p>
            <w:r>
              <w:rPr>
                <w:sz w:val="18"/>
              </w:rPr>
              <w:t>captura recorrente cobre sozinha, com sobra de 173 mil t</w:t>
            </w:r>
          </w:p>
        </w:tc>
      </w:tr>
    </w:tbl>
    <w:p>
      <w:pPr>
        <w:spacing w:after="120"/>
      </w:pPr>
      <w:r>
        <w:rPr>
          <w:b w:val="0"/>
          <w:i w:val="0"/>
        </w:rPr>
        <w:t>Os únicos dois anos com déficit — o 3 e o 4 — caem dentro da janela das obras contratadas, que aportam de duas a seis vezes o necessário. A partir do ano 5 a captura recorrente basta, e a sobra cresce até 173 mil t/ano no ano 14. GURIRI NÃO ENTRA NESTA CONTA. O inventário do §3 é excedente medido e não contabilizado — e é por isso que este estudo não lhe atribui cronograma nem tonelagem anual: não precisa, e atribuir seria trocar um fato medido por uma previsão sobre orçamento de terceiros.</w:t>
      </w:r>
    </w:p>
    <w:p>
      <w:pPr>
        <w:spacing w:after="120" w:before="160"/>
      </w:pPr>
      <w:r>
        <w:rPr>
          <w:b/>
          <w:i w:val="0"/>
          <w:sz w:val="22"/>
        </w:rPr>
        <w:t>Por que São Mateus é diferente — a demanda reprimida de Guriri</w:t>
      </w:r>
    </w:p>
    <w:p>
      <w:pPr>
        <w:spacing w:after="120"/>
      </w:pPr>
      <w:r>
        <w:rPr>
          <w:b w:val="0"/>
          <w:i w:val="0"/>
        </w:rPr>
        <w:t>O argumento de fundo não é “há obras” — é que Guriri representa DEMANDA REPRIMIDA de pavimentação, agora destravada. O balneário cresceu por décadas sobre ruas de areia porque alagava: sem drenagem, calçamento não para em pé, e a Prefeitura não pavimenta o que a chuva desmancha. A macrodrenagem (&gt;R$ 600 mi nas três bacias) remove exatamente esse bloqueio — e pavimenta-se DEPOIS de drenar, bacia a bacia: Bacia 2 conclui em 2028, Bacia 1 corre por 1.620 dias, Bacia 3 ainda será licitada. A sequência construtiva, portanto, espalha a pavimentação por DÉCADAS — e agora isso está medido e auditado ponto a ponto, não suposto: são 141.996 m de via a pavimentar (§3), dos quais as obras contratadas cobrem 20,5%; ao ritmo contratual do próprio Estado, 22 a 43 anos de pavimentação só da pista. Não é um pico de 4 anos que desaparece: é um estoque de vias a pavimentar, liberado em fases ao longo — e além — do prazo do financiamento da CIPREM.</w:t>
      </w:r>
    </w:p>
    <w:p>
      <w:pPr>
        <w:spacing w:after="120" w:before="200"/>
      </w:pPr>
      <w:r>
        <w:rPr>
          <w:b/>
          <w:i w:val="0"/>
          <w:sz w:val="26"/>
        </w:rPr>
        <w:t>3. Inventário viário auditado de Guriri e o horizonte pós-macrodrenagem</w:t>
      </w:r>
    </w:p>
    <w:p>
      <w:pPr>
        <w:spacing w:after="120"/>
      </w:pPr>
      <w:r>
        <w:rPr>
          <w:b/>
          <w:i w:val="0"/>
        </w:rPr>
        <w:t>Esta seção repousa na planilha RECONCILIADA de Guriri, emitida em 19/08/2026 depois de a auditoria independente deste documento ter apontado cinco divergências na versão anterior. As cinco foram acatadas pela fonte: três eram falha de exposição — dado correto, mal apresentado — e duas eram números sem base, que foram RETIRADOS. A base agora é: 437 vias medidas uma a uma nos 21 loteamentos e 637 pontos de auditoria listados individualmente, cada um com coordenada, fonte e data de imagem.</w:t>
      </w:r>
    </w:p>
    <w:p>
      <w:pPr>
        <w:spacing w:after="120" w:before="160"/>
      </w:pPr>
      <w:r>
        <w:rPr>
          <w:b/>
          <w:i w:val="0"/>
          <w:sz w:val="22"/>
        </w:rPr>
        <w:t>3.1 Método, e a contagem de pontos que a auditoria obrigou a abrir</w:t>
      </w:r>
    </w:p>
    <w:p>
      <w:pPr>
        <w:spacing w:after="120"/>
      </w:pPr>
      <w:r>
        <w:rPr>
          <w:b w:val="0"/>
          <w:i w:val="0"/>
        </w:rPr>
        <w:t>A extensão de cada via veio das plantas dos loteamentos e da planilha oficial de loteamentos da Prefeitura de São Mateus, com o traçado medido em OpenStreetMap. A situação de pavimentação foi estabelecida ponto a ponto, classificando em cada ponto a superfície da pista (asfalto e bloquete = pavimentada; saibro e areia = não pavimentada) e a existência de calçada nas testadas. A regra de amostragem, agora declarada com precisão: um ponto a cada ~350 m DE TRECHO CONTÍNUO de via, com no mínimo um ponto por trecho, e remoção de pontos a menos de 35 m um do outro. O “~350 m” é o alvo para trechos longos, não a média realizada — a mediana efetiva é de 267 m por ponto, porque 216 dos 637 pontos vêm de trechos curtos que caíram na cláusula do mínimo. Nenhum ponto representa mais de 518 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 auditoria de pontos, aberta</w:t>
            </w:r>
          </w:p>
        </w:tc>
        <w:tc>
          <w:tcPr>
            <w:tcW w:type="dxa" w:w="2880"/>
          </w:tcPr>
          <w:p>
            <w:r>
              <w:rPr>
                <w:b/>
                <w:sz w:val="18"/>
              </w:rPr>
              <w:t>Quantidade</w:t>
            </w:r>
          </w:p>
        </w:tc>
        <w:tc>
          <w:tcPr>
            <w:tcW w:type="dxa" w:w="2880"/>
          </w:tcPr>
          <w:p>
            <w:r>
              <w:rPr>
                <w:b/>
                <w:sz w:val="18"/>
              </w:rPr>
              <w:t>O que é</w:t>
            </w:r>
          </w:p>
        </w:tc>
      </w:tr>
      <w:tr>
        <w:tc>
          <w:tcPr>
            <w:tcW w:type="dxa" w:w="2880"/>
          </w:tcPr>
          <w:p>
            <w:r>
              <w:rPr>
                <w:sz w:val="18"/>
              </w:rPr>
              <w:t>Pontos creditados a uma via nomeada</w:t>
            </w:r>
          </w:p>
        </w:tc>
        <w:tc>
          <w:tcPr>
            <w:tcW w:type="dxa" w:w="2880"/>
          </w:tcPr>
          <w:p>
            <w:r>
              <w:rPr>
                <w:sz w:val="18"/>
              </w:rPr>
              <w:t>496</w:t>
            </w:r>
          </w:p>
        </w:tc>
        <w:tc>
          <w:tcPr>
            <w:tcW w:type="dxa" w:w="2880"/>
          </w:tcPr>
          <w:p>
            <w:r>
              <w:rPr>
                <w:sz w:val="18"/>
              </w:rPr>
              <w:t>sustentam individualmente a linha daquela via na planilha — dos quais 54 caem em linhas cuja denominação na planta é literalmente “(sem nome)”, apuração da 4ª auditoria cega</w:t>
            </w:r>
          </w:p>
        </w:tc>
      </w:tr>
      <w:tr>
        <w:tc>
          <w:tcPr>
            <w:tcW w:type="dxa" w:w="2880"/>
          </w:tcPr>
          <w:p>
            <w:r>
              <w:rPr>
                <w:sz w:val="18"/>
              </w:rPr>
              <w:t>Pontos na malha física sem nome no mapa</w:t>
            </w:r>
          </w:p>
        </w:tc>
        <w:tc>
          <w:tcPr>
            <w:tcW w:type="dxa" w:w="2880"/>
          </w:tcPr>
          <w:p>
            <w:r>
              <w:rPr>
                <w:sz w:val="18"/>
              </w:rPr>
              <w:t>141</w:t>
            </w:r>
          </w:p>
        </w:tc>
        <w:tc>
          <w:tcPr>
            <w:tcW w:type="dxa" w:w="2880"/>
          </w:tcPr>
          <w:p>
            <w:r>
              <w:rPr>
                <w:sz w:val="18"/>
              </w:rPr>
              <w:t>traçado existente, verificado, mas em via sem nome no mapa ou com nome fora da planta; alimenta a taxa agregada do loteamento</w:t>
            </w:r>
          </w:p>
        </w:tc>
      </w:tr>
      <w:tr>
        <w:tc>
          <w:tcPr>
            <w:tcW w:type="dxa" w:w="2880"/>
          </w:tcPr>
          <w:p>
            <w:r>
              <w:rPr>
                <w:sz w:val="18"/>
              </w:rPr>
              <w:t>TOTAL AUDITADO</w:t>
            </w:r>
          </w:p>
        </w:tc>
        <w:tc>
          <w:tcPr>
            <w:tcW w:type="dxa" w:w="2880"/>
          </w:tcPr>
          <w:p>
            <w:r>
              <w:rPr>
                <w:sz w:val="18"/>
              </w:rPr>
              <w:t>637</w:t>
            </w:r>
          </w:p>
        </w:tc>
        <w:tc>
          <w:tcPr>
            <w:tcW w:type="dxa" w:w="2880"/>
          </w:tcPr>
          <w:p>
            <w:r>
              <w:rPr>
                <w:sz w:val="18"/>
              </w:rPr>
              <w:t>517 no Google Street View + 120 em imagem de satélite, onde não há cobertura de Street View</w:t>
            </w:r>
          </w:p>
        </w:tc>
      </w:tr>
      <w:tr>
        <w:tc>
          <w:tcPr>
            <w:tcW w:type="dxa" w:w="2880"/>
          </w:tcPr>
          <w:p>
            <w:r>
              <w:rPr>
                <w:sz w:val="18"/>
              </w:rPr>
              <w:t>— dos quais listados um a um</w:t>
            </w:r>
          </w:p>
        </w:tc>
        <w:tc>
          <w:tcPr>
            <w:tcW w:type="dxa" w:w="2880"/>
          </w:tcPr>
          <w:p>
            <w:r>
              <w:rPr>
                <w:sz w:val="18"/>
              </w:rPr>
              <w:t>637</w:t>
            </w:r>
          </w:p>
        </w:tc>
        <w:tc>
          <w:tcPr>
            <w:tcW w:type="dxa" w:w="2880"/>
          </w:tcPr>
          <w:p>
            <w:r>
              <w:rPr>
                <w:sz w:val="18"/>
              </w:rPr>
              <w:t>com id, loteamento, via, latitude, longitude, fonte, data da imagem, superfície e extensão representada (Anexo A-4)</w:t>
            </w:r>
          </w:p>
        </w:tc>
      </w:tr>
    </w:tbl>
    <w:p>
      <w:pPr>
        <w:spacing w:after="120"/>
      </w:pPr>
      <w:r>
        <w:rPr>
          <w:b w:val="0"/>
          <w:i w:val="0"/>
          <w:sz w:val="19"/>
        </w:rPr>
        <w:t>Por que essa abertura importa. A versão anterior da planilha declarava 637 pontos no resumo, mas só 496 podiam ser somados via a via — e este documento, por isso, passou a citar o número menor. A reconciliação mostrou que os 141 restantes foram efetivamente verificados: o ponto caiu sobre traçado existente, foi aberto e classificado, mas a via em que caiu não tinha, no mapa, nome correspondente a nenhuma linha da planta — e por isso não havia a que linha creditá-lo. É também a razão de 86 dos 120 pontos de satélite estarem nesse grupo: satélite é o recurso usado justamente onde o Street View não entra, que é onde o traçado não tem nome.</w:t>
      </w:r>
    </w:p>
    <w:p>
      <w:pPr>
        <w:spacing w:after="120"/>
      </w:pPr>
      <w:r>
        <w:rPr>
          <w:b w:val="0"/>
          <w:i w:val="0"/>
          <w:sz w:val="19"/>
        </w:rPr>
        <w:t>O teste que torna a afirmação falseável, e que refizemos: os 517 pontos de Street View têm data de imagem preenchida e os 120 de satélite não têm nenhuma — um ponto herdado de versão anterior ou estimado não teria coordenada nem data. As datas se distribuem em nov/2023 (292), mai/2026 (96), dez/2023 (92), fev/2012 (23), nov/2013 (8), nov/2025 (6). Registre-se o que isso significa: parte da classificação de superfície repousa em imagem antiga, e a leitura mais recente é de mai/2026.</w:t>
      </w:r>
    </w:p>
    <w:p>
      <w:pPr>
        <w:spacing w:after="120"/>
      </w:pPr>
      <w:r>
        <w:rPr>
          <w:b w:val="0"/>
          <w:i w:val="0"/>
          <w:sz w:val="19"/>
        </w:rPr>
        <w:t>Duas exceções ficam registradas por não caberem na regra. O Residencial Bom Jesus (nº 42) tem metragem só de planta e mesmo assim fecha em zero, porque nele a metragem sem lastro e os pontos sem via não coincidem. E o Balneário de Guriri (nº 7) tem 4 pontos sobre o CALÇADÃO da orla (ids 612–615), que existe, foi verificado, mas não é via de rolamento nem consta da planta. Quem preferir o critério estrito desconta esses quatro e cita 633 pontos de auditoria de via; nenhum número deste estudo depende dessa escolha.</w:t>
      </w:r>
    </w:p>
    <w:p>
      <w:pPr>
        <w:spacing w:after="120" w:before="160"/>
      </w:pPr>
      <w:r>
        <w:rPr>
          <w:b/>
          <w:i w:val="0"/>
          <w:sz w:val="22"/>
        </w:rPr>
        <w:t>3.2 O inventário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t>Medido</w:t>
            </w:r>
          </w:p>
        </w:tc>
        <w:tc>
          <w:tcPr>
            <w:tcW w:type="dxa" w:w="2880"/>
          </w:tcPr>
          <w:p>
            <w:r>
              <w:rPr>
                <w:b/>
                <w:sz w:val="18"/>
              </w:rPr>
              <w:t>Observação</w:t>
            </w:r>
          </w:p>
        </w:tc>
      </w:tr>
      <w:tr>
        <w:tc>
          <w:tcPr>
            <w:tcW w:type="dxa" w:w="2880"/>
          </w:tcPr>
          <w:p>
            <w:r>
              <w:rPr>
                <w:sz w:val="18"/>
              </w:rPr>
              <w:t>Loteamentos levantados</w:t>
            </w:r>
          </w:p>
        </w:tc>
        <w:tc>
          <w:tcPr>
            <w:tcW w:type="dxa" w:w="2880"/>
          </w:tcPr>
          <w:p>
            <w:r>
              <w:rPr>
                <w:sz w:val="18"/>
              </w:rPr>
              <w:t>21</w:t>
            </w:r>
          </w:p>
        </w:tc>
        <w:tc>
          <w:tcPr>
            <w:tcW w:type="dxa" w:w="2880"/>
          </w:tcPr>
          <w:p>
            <w:r>
              <w:rPr>
                <w:sz w:val="18"/>
              </w:rPr>
              <w:t>todos os que formam o balneário</w:t>
            </w:r>
          </w:p>
        </w:tc>
      </w:tr>
      <w:tr>
        <w:tc>
          <w:tcPr>
            <w:tcW w:type="dxa" w:w="2880"/>
          </w:tcPr>
          <w:p>
            <w:r>
              <w:rPr>
                <w:sz w:val="18"/>
              </w:rPr>
              <w:t>Vias medidas</w:t>
            </w:r>
          </w:p>
        </w:tc>
        <w:tc>
          <w:tcPr>
            <w:tcW w:type="dxa" w:w="2880"/>
          </w:tcPr>
          <w:p>
            <w:r>
              <w:rPr>
                <w:sz w:val="18"/>
              </w:rPr>
              <w:t>437</w:t>
            </w:r>
          </w:p>
        </w:tc>
        <w:tc>
          <w:tcPr>
            <w:tcW w:type="dxa" w:w="2880"/>
          </w:tcPr>
          <w:p>
            <w:r>
              <w:rPr>
                <w:sz w:val="18"/>
              </w:rPr>
              <w:t>uma a uma, com nome</w:t>
            </w:r>
          </w:p>
        </w:tc>
      </w:tr>
      <w:tr>
        <w:tc>
          <w:tcPr>
            <w:tcW w:type="dxa" w:w="2880"/>
          </w:tcPr>
          <w:p>
            <w:r>
              <w:rPr>
                <w:sz w:val="18"/>
              </w:rPr>
              <w:t>Pontos de auditoria</w:t>
            </w:r>
          </w:p>
        </w:tc>
        <w:tc>
          <w:tcPr>
            <w:tcW w:type="dxa" w:w="2880"/>
          </w:tcPr>
          <w:p>
            <w:r>
              <w:rPr>
                <w:sz w:val="18"/>
              </w:rPr>
              <w:t>637</w:t>
            </w:r>
          </w:p>
        </w:tc>
        <w:tc>
          <w:tcPr>
            <w:tcW w:type="dxa" w:w="2880"/>
          </w:tcPr>
          <w:p>
            <w:r>
              <w:rPr>
                <w:sz w:val="18"/>
              </w:rPr>
              <w:t>517 em Street View + 120 em satélite, todos listados no Anexo A-4</w:t>
            </w:r>
          </w:p>
        </w:tc>
      </w:tr>
      <w:tr>
        <w:tc>
          <w:tcPr>
            <w:tcW w:type="dxa" w:w="2880"/>
          </w:tcPr>
          <w:p>
            <w:r>
              <w:rPr>
                <w:sz w:val="18"/>
              </w:rPr>
              <w:t>Extensão total de vias</w:t>
            </w:r>
          </w:p>
        </w:tc>
        <w:tc>
          <w:tcPr>
            <w:tcW w:type="dxa" w:w="2880"/>
          </w:tcPr>
          <w:p>
            <w:r>
              <w:rPr>
                <w:sz w:val="18"/>
              </w:rPr>
              <w:t>193.374,8 m (193,4 km)</w:t>
            </w:r>
          </w:p>
        </w:tc>
        <w:tc>
          <w:tcPr>
            <w:tcW w:type="dxa" w:w="2880"/>
          </w:tcPr>
          <w:p>
            <w:r>
              <w:rPr>
                <w:sz w:val="18"/>
              </w:rPr>
              <w:t>plantas + planilha oficial, traçado em OSM</w:t>
            </w:r>
          </w:p>
        </w:tc>
      </w:tr>
      <w:tr>
        <w:tc>
          <w:tcPr>
            <w:tcW w:type="dxa" w:w="2880"/>
          </w:tcPr>
          <w:p>
            <w:r>
              <w:rPr>
                <w:sz w:val="18"/>
              </w:rPr>
              <w:t>Pista já pavimentada</w:t>
            </w:r>
          </w:p>
        </w:tc>
        <w:tc>
          <w:tcPr>
            <w:tcW w:type="dxa" w:w="2880"/>
          </w:tcPr>
          <w:p>
            <w:r>
              <w:rPr>
                <w:sz w:val="18"/>
              </w:rPr>
              <w:t>51.378,8 m (26,57%)</w:t>
            </w:r>
          </w:p>
        </w:tc>
        <w:tc>
          <w:tcPr>
            <w:tcW w:type="dxa" w:w="2880"/>
          </w:tcPr>
          <w:p>
            <w:r>
              <w:rPr>
                <w:sz w:val="18"/>
              </w:rPr>
              <w:t>asfalto ou bloquete, verificado em campo virtual</w:t>
            </w:r>
          </w:p>
        </w:tc>
      </w:tr>
      <w:tr>
        <w:tc>
          <w:tcPr>
            <w:tcW w:type="dxa" w:w="2880"/>
          </w:tcPr>
          <w:p>
            <w:r>
              <w:rPr>
                <w:sz w:val="18"/>
              </w:rPr>
              <w:t>FALTA PAVIMENTAR (pista)</w:t>
            </w:r>
          </w:p>
        </w:tc>
        <w:tc>
          <w:tcPr>
            <w:tcW w:type="dxa" w:w="2880"/>
          </w:tcPr>
          <w:p>
            <w:r>
              <w:rPr>
                <w:sz w:val="18"/>
              </w:rPr>
              <w:t>141.996 m ≈ 1.216.547 m²</w:t>
            </w:r>
          </w:p>
        </w:tc>
        <w:tc>
          <w:tcPr>
            <w:tcW w:type="dxa" w:w="2880"/>
          </w:tcPr>
          <w:p>
            <w:r>
              <w:rPr>
                <w:sz w:val="18"/>
              </w:rPr>
              <w:t>área pela CAIXA DE VIA de cada planta, calculada via a via (§3.4)</w:t>
            </w:r>
          </w:p>
        </w:tc>
      </w:tr>
      <w:tr>
        <w:tc>
          <w:tcPr>
            <w:tcW w:type="dxa" w:w="2880"/>
          </w:tcPr>
          <w:p>
            <w:r>
              <w:rPr>
                <w:sz w:val="18"/>
              </w:rPr>
              <w:t>— o mesmo, pela premissa de 8 m</w:t>
            </w:r>
          </w:p>
        </w:tc>
        <w:tc>
          <w:tcPr>
            <w:tcW w:type="dxa" w:w="2880"/>
          </w:tcPr>
          <w:p>
            <w:r>
              <w:rPr>
                <w:sz w:val="18"/>
              </w:rPr>
              <w:t>1.135.968 m²</w:t>
            </w:r>
          </w:p>
        </w:tc>
        <w:tc>
          <w:tcPr>
            <w:tcW w:type="dxa" w:w="2880"/>
          </w:tcPr>
          <w:p>
            <w:r>
              <w:rPr>
                <w:sz w:val="18"/>
              </w:rPr>
              <w:t>escalar único usado na versão anterior; permanece publicado como PISO</w:t>
            </w:r>
          </w:p>
        </w:tc>
      </w:tr>
      <w:tr>
        <w:tc>
          <w:tcPr>
            <w:tcW w:type="dxa" w:w="2880"/>
          </w:tcPr>
          <w:p>
            <w:r>
              <w:rPr>
                <w:sz w:val="18"/>
              </w:rPr>
              <w:t>Passeio faltante</w:t>
            </w:r>
          </w:p>
        </w:tc>
        <w:tc>
          <w:tcPr>
            <w:tcW w:type="dxa" w:w="2880"/>
          </w:tcPr>
          <w:p>
            <w:r>
              <w:rPr>
                <w:sz w:val="18"/>
              </w:rPr>
              <w:t>136.212,9 m de via ≈ 554.203 m²</w:t>
            </w:r>
          </w:p>
        </w:tc>
        <w:tc>
          <w:tcPr>
            <w:tcW w:type="dxa" w:w="2880"/>
          </w:tcPr>
          <w:p>
            <w:r>
              <w:rPr>
                <w:sz w:val="18"/>
              </w:rPr>
              <w:t>metros de VIA sem calçada completa nos dois lados — não metros lineares de calçada. Exclui os loteamentos nº 78 e nº 80, cujo percentual foi RETIRADO por não ter leitura que o sustentasse</w:t>
            </w:r>
          </w:p>
        </w:tc>
      </w:tr>
      <w:tr>
        <w:tc>
          <w:tcPr>
            <w:tcW w:type="dxa" w:w="2880"/>
          </w:tcPr>
          <w:p>
            <w:r>
              <w:rPr>
                <w:sz w:val="18"/>
              </w:rPr>
              <w:t>ESTIMATIVA ORIGINAL (grade)</w:t>
            </w:r>
          </w:p>
        </w:tc>
        <w:tc>
          <w:tcPr>
            <w:tcW w:type="dxa" w:w="2880"/>
          </w:tcPr>
          <w:p>
            <w:r>
              <w:rPr>
                <w:sz w:val="18"/>
              </w:rPr>
              <w:t>40–48 km / 350–400 mil m²</w:t>
            </w:r>
          </w:p>
        </w:tc>
        <w:tc>
          <w:tcPr>
            <w:tcW w:type="dxa" w:w="2880"/>
          </w:tcPr>
          <w:p>
            <w:r>
              <w:rPr>
                <w:sz w:val="18"/>
              </w:rPr>
              <w:t>subestimava a malha em ~4,8 vezes — substituída</w:t>
            </w:r>
          </w:p>
        </w:tc>
      </w:tr>
    </w:tbl>
    <w:p>
      <w:pPr>
        <w:spacing w:after="120" w:before="160"/>
      </w:pPr>
      <w:r>
        <w:rPr>
          <w:b/>
          <w:i w:val="0"/>
          <w:sz w:val="22"/>
        </w:rPr>
        <w:t>3.3 Conversão em toneladas</w:t>
      </w:r>
    </w:p>
    <w:p>
      <w:pPr>
        <w:spacing w:after="120"/>
      </w:pPr>
      <w:r>
        <w:rPr>
          <w:b w:val="0"/>
          <w:i w:val="0"/>
        </w:rPr>
        <w:t>Aplicando a banda composicional oficial (Anexo B): 0,661–0,861 t/m² de agregados na pista, dos quais 0,586–0,738 t/m² de produtos de britagem; e 0,126–0,175 t/m² na calçada. A banda não mudou nesta revisão — o que mudou foi a área a que ela se aplica.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w:t>
            </w:r>
          </w:p>
        </w:tc>
        <w:tc>
          <w:tcPr>
            <w:tcW w:type="dxa" w:w="2160"/>
          </w:tcPr>
          <w:p>
            <w:r>
              <w:rPr>
                <w:b/>
                <w:sz w:val="18"/>
              </w:rPr>
              <w:t>Área</w:t>
            </w:r>
          </w:p>
        </w:tc>
        <w:tc>
          <w:tcPr>
            <w:tcW w:type="dxa" w:w="2160"/>
          </w:tcPr>
          <w:p>
            <w:r>
              <w:rPr>
                <w:b/>
                <w:sz w:val="18"/>
              </w:rPr>
              <w:t>Agregados (mil t)</w:t>
            </w:r>
          </w:p>
        </w:tc>
        <w:tc>
          <w:tcPr>
            <w:tcW w:type="dxa" w:w="2160"/>
          </w:tcPr>
          <w:p>
            <w:r>
              <w:rPr>
                <w:b/>
                <w:sz w:val="18"/>
              </w:rPr>
              <w:t>PRODUTOS DE BRITAGEM (mil t)</w:t>
            </w:r>
          </w:p>
        </w:tc>
      </w:tr>
      <w:tr>
        <w:tc>
          <w:tcPr>
            <w:tcW w:type="dxa" w:w="2160"/>
          </w:tcPr>
          <w:p>
            <w:r>
              <w:rPr>
                <w:sz w:val="18"/>
              </w:rPr>
              <w:t>Pavimentação faltante (pista)</w:t>
            </w:r>
          </w:p>
        </w:tc>
        <w:tc>
          <w:tcPr>
            <w:tcW w:type="dxa" w:w="2160"/>
          </w:tcPr>
          <w:p>
            <w:r>
              <w:rPr>
                <w:sz w:val="18"/>
              </w:rPr>
              <w:t>1.216.547 m²</w:t>
            </w:r>
          </w:p>
        </w:tc>
        <w:tc>
          <w:tcPr>
            <w:tcW w:type="dxa" w:w="2160"/>
          </w:tcPr>
          <w:p>
            <w:r>
              <w:rPr>
                <w:sz w:val="18"/>
              </w:rPr>
              <w:t>804–1.047</w:t>
            </w:r>
          </w:p>
        </w:tc>
        <w:tc>
          <w:tcPr>
            <w:tcW w:type="dxa" w:w="2160"/>
          </w:tcPr>
          <w:p>
            <w:r>
              <w:rPr>
                <w:sz w:val="18"/>
              </w:rPr>
              <w:t>713–898</w:t>
            </w:r>
          </w:p>
        </w:tc>
      </w:tr>
      <w:tr>
        <w:tc>
          <w:tcPr>
            <w:tcW w:type="dxa" w:w="2160"/>
          </w:tcPr>
          <w:p>
            <w:r>
              <w:rPr>
                <w:sz w:val="18"/>
              </w:rPr>
              <w:t>Calçadas faltantes</w:t>
            </w:r>
          </w:p>
        </w:tc>
        <w:tc>
          <w:tcPr>
            <w:tcW w:type="dxa" w:w="2160"/>
          </w:tcPr>
          <w:p>
            <w:r>
              <w:rPr>
                <w:sz w:val="18"/>
              </w:rPr>
              <w:t>554.203 m²</w:t>
            </w:r>
          </w:p>
        </w:tc>
        <w:tc>
          <w:tcPr>
            <w:tcW w:type="dxa" w:w="2160"/>
          </w:tcPr>
          <w:p>
            <w:r>
              <w:rPr>
                <w:sz w:val="18"/>
              </w:rPr>
              <w:t>70–97</w:t>
            </w:r>
          </w:p>
        </w:tc>
        <w:tc>
          <w:tcPr>
            <w:tcW w:type="dxa" w:w="2160"/>
          </w:tcPr>
          <w:p>
            <w:r>
              <w:rPr>
                <w:sz w:val="18"/>
              </w:rPr>
              <w:t>38–53</w:t>
            </w:r>
          </w:p>
        </w:tc>
      </w:tr>
      <w:tr>
        <w:tc>
          <w:tcPr>
            <w:tcW w:type="dxa" w:w="2160"/>
          </w:tcPr>
          <w:p>
            <w:r>
              <w:rPr>
                <w:sz w:val="18"/>
              </w:rPr>
              <w:t>TOTAL A PAVIMENTAR E CALÇAR</w:t>
            </w:r>
          </w:p>
        </w:tc>
        <w:tc>
          <w:tcPr>
            <w:tcW w:type="dxa" w:w="2160"/>
          </w:tcPr>
          <w:p>
            <w:r>
              <w:rPr>
                <w:sz w:val="18"/>
              </w:rPr>
            </w:r>
          </w:p>
        </w:tc>
        <w:tc>
          <w:tcPr>
            <w:tcW w:type="dxa" w:w="2160"/>
          </w:tcPr>
          <w:p>
            <w:r>
              <w:rPr>
                <w:sz w:val="18"/>
              </w:rPr>
              <w:t>874–1.144</w:t>
            </w:r>
          </w:p>
        </w:tc>
        <w:tc>
          <w:tcPr>
            <w:tcW w:type="dxa" w:w="2160"/>
          </w:tcPr>
          <w:p>
            <w:r>
              <w:rPr>
                <w:sz w:val="18"/>
              </w:rPr>
              <w:t>751–951</w:t>
            </w:r>
          </w:p>
        </w:tc>
      </w:tr>
      <w:tr>
        <w:tc>
          <w:tcPr>
            <w:tcW w:type="dxa" w:w="2160"/>
          </w:tcPr>
          <w:p>
            <w:r>
              <w:rPr>
                <w:sz w:val="18"/>
              </w:rPr>
              <w:t>PISO DECLARADO — mesma conta com a premissa de 8 m</w:t>
            </w:r>
          </w:p>
        </w:tc>
        <w:tc>
          <w:tcPr>
            <w:tcW w:type="dxa" w:w="2160"/>
          </w:tcPr>
          <w:p>
            <w:r>
              <w:rPr>
                <w:sz w:val="18"/>
              </w:rPr>
            </w:r>
          </w:p>
        </w:tc>
        <w:tc>
          <w:tcPr>
            <w:tcW w:type="dxa" w:w="2160"/>
          </w:tcPr>
          <w:p>
            <w:r>
              <w:rPr>
                <w:sz w:val="18"/>
              </w:rPr>
              <w:t>821–1.075</w:t>
            </w:r>
          </w:p>
        </w:tc>
        <w:tc>
          <w:tcPr>
            <w:tcW w:type="dxa" w:w="2160"/>
          </w:tcPr>
          <w:p>
            <w:r>
              <w:rPr>
                <w:sz w:val="18"/>
              </w:rPr>
              <w:t>704–892</w:t>
            </w:r>
          </w:p>
        </w:tc>
      </w:tr>
    </w:tbl>
    <w:p>
      <w:pPr>
        <w:spacing w:after="120"/>
      </w:pPr>
      <w:r>
        <w:rPr>
          <w:b w:val="0"/>
          <w:i w:val="0"/>
          <w:sz w:val="19"/>
        </w:rPr>
        <w:t>QUASE NOVE DÉCIMOS DO AGREGADO É PRODUTO DE PEDREIRA — o número surpreende e por isso vai aberto. Na pista, a fração de produtos de britagem é de 88,7% a 85,7% do agregado; somada a calçada, o inventário inteiro dá 86% a 83%. A causa está na tabela do Anexo B e é estrutural deste tipo de pavimento: as DUAS camadas mais pesadas — base de brita graduada e colchão de pó de pedra — são 100% produto de pedreira e sozinhas valem 58% a 62% de todo o agregado; os blocos intertravados são 85%; e não se compra areia para o subleito, porque o subleito é a praia. O rejunte, que é areia, foi contado como ZERO britagem — conservador.</w:t>
      </w:r>
    </w:p>
    <w:p>
      <w:pPr>
        <w:spacing w:after="120"/>
      </w:pPr>
      <w:r>
        <w:rPr>
          <w:b w:val="0"/>
          <w:i w:val="0"/>
          <w:sz w:val="19"/>
        </w:rPr>
        <w:t>Reconciliação com a fração das OBRAS, porque as duas cifras convivem no mesmo documento: as obras públicas dão 79%–94% (frase 2) e Guriri dá 83%–86%. As duas saem da MESMA metodologia — decomposição camada a camada pelas composições oficiais — e diferem porque são tipos de construção diferentes: as obras incluem galerias e pontes, com concreto estrutural pesado, onde o miúdo é grande parte do agregado; Guriri é intertravado sobre areia, quase sem concreto estrutural. Até a versão anterior deste documento, as obras usavam um coeficiente único de 42% da ANEPAC, que media outra coisa — a participação da brita na produção nacional — e foi substituído nesta revisão.</w:t>
      </w:r>
    </w:p>
    <w:p>
      <w:pPr>
        <w:spacing w:after="120"/>
      </w:pPr>
      <w:r>
        <w:rPr>
          <w:b w:val="0"/>
          <w:i w:val="0"/>
          <w:sz w:val="19"/>
        </w:rPr>
        <w:t>As duas linhas finais são a mesma malha sob duas geometrias, e ambas ficam publicadas. A diferença de 7,1% na área de pista não vem de premissa nova nossa: vem da CAIXA DE VIA registrada no quadro das próprias plantas de loteamento, aplicada via a via em lugar de um escalar único. O alcance dessa melhoria está dito no §3.4, e o piso de 8 m permanece à vista para quem preferir a leitura mais restritiva.</w:t>
      </w:r>
    </w:p>
    <w:p>
      <w:pPr>
        <w:spacing w:after="120"/>
      </w:pPr>
      <w:r>
        <w:rPr>
          <w:b w:val="0"/>
          <w:i/>
          <w:color w:val="595959"/>
          <w:sz w:val="19"/>
        </w:rPr>
        <w:t>Um defeito da planilha-fonte, apanhado pela 4ª auditoria cega e registrado aqui porque quem ler a fonte vai encontrá-lo: a nota da célula A31 do Resumo Geral afirma que “185 das 418 vias de planta” trazem a caixa de via e que 12,0 m é o valor dominante “em 146 delas”. Os dados da própria planilha dizem outra coisa — 138 vias das 437 têm caixa lida do quadro da planta, e a moda de 12,0 m aparece em 102 delas. Os números que ESTE documento usa são os dos dados, não os da nota; a nota é resíduo de uma versão anterior do levantamento e não foi usada em nenhuma conta.</w:t>
      </w:r>
    </w:p>
    <w:p>
      <w:pPr>
        <w:spacing w:after="120" w:before="160"/>
      </w:pPr>
      <w:r>
        <w:rPr>
          <w:b/>
          <w:i w:val="0"/>
          <w:sz w:val="22"/>
        </w:rPr>
        <w:t>3.4 O que é certo e o que é a confirmar</w:t>
      </w:r>
    </w:p>
    <w:p>
      <w:pPr>
        <w:spacing w:after="120"/>
      </w:pPr>
      <w:r>
        <w:rPr>
          <w:b w:val="0"/>
          <w:i w:val="0"/>
        </w:rPr>
        <w:t>TRÊS CAMADAS DE INCERTEZA, todas declaradas. A PRIMEIRA é a existência do traçado: 136.394 m (70,5% da malha) têm traçado medido sobre imagem; 56.979 m são vias previstas em projeto sem traçado medido. Aplicada ao que falta pavimentar, e calculada via a via — não por rateio: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Camada</w:t>
            </w:r>
          </w:p>
        </w:tc>
        <w:tc>
          <w:tcPr>
            <w:tcW w:type="dxa" w:w="2160"/>
          </w:tcPr>
          <w:p>
            <w:r>
              <w:rPr>
                <w:b/>
                <w:sz w:val="18"/>
              </w:rPr>
              <w:t>Extensão</w:t>
            </w:r>
          </w:p>
        </w:tc>
        <w:tc>
          <w:tcPr>
            <w:tcW w:type="dxa" w:w="2160"/>
          </w:tcPr>
          <w:p>
            <w:r>
              <w:rPr>
                <w:b/>
                <w:sz w:val="18"/>
              </w:rPr>
              <w:t>Área de pista</w:t>
            </w:r>
          </w:p>
        </w:tc>
        <w:tc>
          <w:tcPr>
            <w:tcW w:type="dxa" w:w="2160"/>
          </w:tcPr>
          <w:p>
            <w:r>
              <w:rPr>
                <w:b/>
                <w:sz w:val="18"/>
              </w:rPr>
              <w:t>Produtos de britagem (mil t)</w:t>
            </w:r>
          </w:p>
        </w:tc>
      </w:tr>
      <w:tr>
        <w:tc>
          <w:tcPr>
            <w:tcW w:type="dxa" w:w="2160"/>
          </w:tcPr>
          <w:p>
            <w:r>
              <w:rPr>
                <w:sz w:val="18"/>
              </w:rPr>
              <w:t>Vias com traçado medido — base CERTA</w:t>
            </w:r>
          </w:p>
        </w:tc>
        <w:tc>
          <w:tcPr>
            <w:tcW w:type="dxa" w:w="2160"/>
          </w:tcPr>
          <w:p>
            <w:r>
              <w:rPr>
                <w:sz w:val="18"/>
              </w:rPr>
              <w:t>91.827 m</w:t>
            </w:r>
          </w:p>
        </w:tc>
        <w:tc>
          <w:tcPr>
            <w:tcW w:type="dxa" w:w="2160"/>
          </w:tcPr>
          <w:p>
            <w:r>
              <w:rPr>
                <w:sz w:val="18"/>
              </w:rPr>
              <w:t>760.511 m²</w:t>
            </w:r>
          </w:p>
        </w:tc>
        <w:tc>
          <w:tcPr>
            <w:tcW w:type="dxa" w:w="2160"/>
          </w:tcPr>
          <w:p>
            <w:r>
              <w:rPr>
                <w:sz w:val="18"/>
              </w:rPr>
              <w:t>446–561</w:t>
            </w:r>
          </w:p>
        </w:tc>
      </w:tr>
      <w:tr>
        <w:tc>
          <w:tcPr>
            <w:tcW w:type="dxa" w:w="2160"/>
          </w:tcPr>
          <w:p>
            <w:r>
              <w:rPr>
                <w:sz w:val="18"/>
              </w:rPr>
              <w:t>Vias só de planta — a confirmar em campo</w:t>
            </w:r>
          </w:p>
        </w:tc>
        <w:tc>
          <w:tcPr>
            <w:tcW w:type="dxa" w:w="2160"/>
          </w:tcPr>
          <w:p>
            <w:r>
              <w:rPr>
                <w:sz w:val="18"/>
              </w:rPr>
              <w:t>50.168 m</w:t>
            </w:r>
          </w:p>
        </w:tc>
        <w:tc>
          <w:tcPr>
            <w:tcW w:type="dxa" w:w="2160"/>
          </w:tcPr>
          <w:p>
            <w:r>
              <w:rPr>
                <w:sz w:val="18"/>
              </w:rPr>
              <w:t>456,036 m² (37,5% do orçamento)</w:t>
            </w:r>
          </w:p>
        </w:tc>
        <w:tc>
          <w:tcPr>
            <w:tcW w:type="dxa" w:w="2160"/>
          </w:tcPr>
          <w:p>
            <w:r>
              <w:rPr>
                <w:sz w:val="18"/>
              </w:rPr>
              <w:t>267–337</w:t>
            </w:r>
          </w:p>
        </w:tc>
      </w:tr>
    </w:tbl>
    <w:p>
      <w:pPr>
        <w:spacing w:after="120"/>
      </w:pPr>
      <w:r>
        <w:rPr>
          <w:b w:val="0"/>
          <w:i w:val="0"/>
        </w:rPr>
        <w:t>A SEGUNDA camada de incerteza é a COBERTURA AMOSTRAL, e ela entra nesta versão por exigência da 4ª auditoria cega, que a apontou como maior do que qualquer arredondamento auditado: 136 das 437 vias (31,1%) não têm ponto próprio — a sua classificação vem da taxa agregada do loteamento, não de leitura na própria via. Elas concentram 59.233 m de via (30,6% da rede) e 470.028 m² do que falta pavimentar (38,6% da área). A TERCEIRA é a confiança declarada via a via pela própria fonte, repartida sobre a área faltante: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Confiança declarada na fonte</w:t>
            </w:r>
          </w:p>
        </w:tc>
        <w:tc>
          <w:tcPr>
            <w:tcW w:type="dxa" w:w="2160"/>
          </w:tcPr>
          <w:p>
            <w:r>
              <w:rPr>
                <w:b/>
                <w:sz w:val="18"/>
              </w:rPr>
              <w:t>Vias</w:t>
            </w:r>
          </w:p>
        </w:tc>
        <w:tc>
          <w:tcPr>
            <w:tcW w:type="dxa" w:w="2160"/>
          </w:tcPr>
          <w:p>
            <w:r>
              <w:rPr>
                <w:b/>
                <w:sz w:val="18"/>
              </w:rPr>
              <w:t>Área de pista faltante</w:t>
            </w:r>
          </w:p>
        </w:tc>
        <w:tc>
          <w:tcPr>
            <w:tcW w:type="dxa" w:w="2160"/>
          </w:tcPr>
          <w:p>
            <w:r>
              <w:rPr>
                <w:b/>
                <w:sz w:val="18"/>
              </w:rPr>
              <w:t>% da área</w:t>
            </w:r>
          </w:p>
        </w:tc>
      </w:tr>
      <w:tr>
        <w:tc>
          <w:tcPr>
            <w:tcW w:type="dxa" w:w="2160"/>
          </w:tcPr>
          <w:p>
            <w:r>
              <w:rPr>
                <w:sz w:val="18"/>
              </w:rPr>
              <w:t>Alta</w:t>
            </w:r>
          </w:p>
        </w:tc>
        <w:tc>
          <w:tcPr>
            <w:tcW w:type="dxa" w:w="2160"/>
          </w:tcPr>
          <w:p>
            <w:r>
              <w:rPr>
                <w:sz w:val="18"/>
              </w:rPr>
              <w:t>279</w:t>
            </w:r>
          </w:p>
        </w:tc>
        <w:tc>
          <w:tcPr>
            <w:tcW w:type="dxa" w:w="2160"/>
          </w:tcPr>
          <w:p>
            <w:r>
              <w:rPr>
                <w:sz w:val="18"/>
              </w:rPr>
              <w:t>682.207 m²</w:t>
            </w:r>
          </w:p>
        </w:tc>
        <w:tc>
          <w:tcPr>
            <w:tcW w:type="dxa" w:w="2160"/>
          </w:tcPr>
          <w:p>
            <w:r>
              <w:rPr>
                <w:sz w:val="18"/>
              </w:rPr>
              <w:t>56,1%</w:t>
            </w:r>
          </w:p>
        </w:tc>
      </w:tr>
      <w:tr>
        <w:tc>
          <w:tcPr>
            <w:tcW w:type="dxa" w:w="2160"/>
          </w:tcPr>
          <w:p>
            <w:r>
              <w:rPr>
                <w:sz w:val="18"/>
              </w:rPr>
              <w:t>Baixa</w:t>
            </w:r>
          </w:p>
        </w:tc>
        <w:tc>
          <w:tcPr>
            <w:tcW w:type="dxa" w:w="2160"/>
          </w:tcPr>
          <w:p>
            <w:r>
              <w:rPr>
                <w:sz w:val="18"/>
              </w:rPr>
              <w:t>108</w:t>
            </w:r>
          </w:p>
        </w:tc>
        <w:tc>
          <w:tcPr>
            <w:tcW w:type="dxa" w:w="2160"/>
          </w:tcPr>
          <w:p>
            <w:r>
              <w:rPr>
                <w:sz w:val="18"/>
              </w:rPr>
              <w:t>423.649 m²</w:t>
            </w:r>
          </w:p>
        </w:tc>
        <w:tc>
          <w:tcPr>
            <w:tcW w:type="dxa" w:w="2160"/>
          </w:tcPr>
          <w:p>
            <w:r>
              <w:rPr>
                <w:sz w:val="18"/>
              </w:rPr>
              <w:t>34,8%</w:t>
            </w:r>
          </w:p>
        </w:tc>
      </w:tr>
      <w:tr>
        <w:tc>
          <w:tcPr>
            <w:tcW w:type="dxa" w:w="2160"/>
          </w:tcPr>
          <w:p>
            <w:r>
              <w:rPr>
                <w:sz w:val="18"/>
              </w:rPr>
              <w:t>Média</w:t>
            </w:r>
          </w:p>
        </w:tc>
        <w:tc>
          <w:tcPr>
            <w:tcW w:type="dxa" w:w="2160"/>
          </w:tcPr>
          <w:p>
            <w:r>
              <w:rPr>
                <w:sz w:val="18"/>
              </w:rPr>
              <w:t>50</w:t>
            </w:r>
          </w:p>
        </w:tc>
        <w:tc>
          <w:tcPr>
            <w:tcW w:type="dxa" w:w="2160"/>
          </w:tcPr>
          <w:p>
            <w:r>
              <w:rPr>
                <w:sz w:val="18"/>
              </w:rPr>
              <w:t>110.691 m²</w:t>
            </w:r>
          </w:p>
        </w:tc>
        <w:tc>
          <w:tcPr>
            <w:tcW w:type="dxa" w:w="2160"/>
          </w:tcPr>
          <w:p>
            <w:r>
              <w:rPr>
                <w:sz w:val="18"/>
              </w:rPr>
              <w:t>9,1%</w:t>
            </w:r>
          </w:p>
        </w:tc>
      </w:tr>
    </w:tbl>
    <w:p>
      <w:pPr>
        <w:spacing w:after="120"/>
      </w:pPr>
      <w:r>
        <w:rPr>
          <w:b w:val="0"/>
          <w:i/>
          <w:color w:val="595959"/>
          <w:sz w:val="19"/>
        </w:rPr>
        <w:t>Nenhuma dessas três camadas foi usada para reduzir o número publicado, e é justo dizer por quê: o inventário NÃO entra nas projeções de receita, de modo que a incerteza não contamina a capacidade de pagamento. Ela é relevante para outra pergunta — quanto material existe ali —, e para essa pergunta a leitura conservadora do parágrafo seguinte é a resposta honesta.</w:t>
      </w:r>
    </w:p>
    <w:p>
      <w:pPr>
        <w:spacing w:after="120"/>
      </w:pPr>
      <w:r>
        <w:rPr>
          <w:b w:val="0"/>
          <w:i w:val="0"/>
          <w:sz w:val="19"/>
        </w:rPr>
        <w:t>Leitura conservadora, para o caso de o analista descontar integralmente as vias não confirmadas: restam 446–561 mil t de produtos de britagem em vias cuja existência está medida — sozinhas, entre 1,9 e 2,4 anos de produção integral da CIPREM no platô — e nenhuma tonelada disso está nas projeções de receita.</w:t>
      </w:r>
    </w:p>
    <w:p>
      <w:pPr>
        <w:spacing w:after="120"/>
      </w:pPr>
      <w:r>
        <w:rPr>
          <w:b w:val="0"/>
          <w:i w:val="0"/>
          <w:sz w:val="19"/>
        </w:rPr>
        <w:t>E esse desconto é MAIS conservador do que a evidência exige, o que também vai dito: a coluna de metragem medida conta apenas vias NOMEADAS com traçado medido. A aba de pontos mostra malha física observada em imagem além dela — no Bosque da Praia são 4.849 m observados contra 942 m de metragem medida; no Soma Cevolani, 3.847 m de 4.952. O que falta nessas vias não é a existência física da malha: é a correspondência entre a grade observada e os NOMES da planta. Fica como observação, não como número.</w:t>
      </w:r>
    </w:p>
    <w:p>
      <w:pPr>
        <w:spacing w:after="120"/>
      </w:pPr>
      <w:r>
        <w:rPr>
          <w:b w:val="0"/>
          <w:i w:val="0"/>
          <w:sz w:val="19"/>
        </w:rPr>
        <w:t>Onde essa incerteza se concentra, dito antes que o analista pergunte: 7 dos 21 loteamentos têm alguma via só de planta, mas um só responde por 62% do total — o Bosque da Praia, cujas 40 vias estão 97% em planta e nenhuma pavimentada, e que sozinho representa 28% de tudo o que falta pavimentar no balneário. É o maior loteamento de Guriri em extensão viária, registrado em 1979, e a confirmação em campo da sua malha é a diligência de maior valor que resta neste inventário — ainda que a auditoria já tenha observado 4.849 m de grade física dentro dele. O cenário conservador acima o desconta integralmente, e é essa a razão de ele existir.</w:t>
      </w:r>
    </w:p>
    <w:p>
      <w:pPr>
        <w:spacing w:after="120"/>
      </w:pPr>
      <w:r>
        <w:rPr>
          <w:b w:val="0"/>
          <w:i w:val="0"/>
        </w:rPr>
        <w:t>A SEGUNDA camada é a largura. A versão anterior aplicava um escalar de 8 m a toda a malha, sem nenhuma coluna de largura por trás. A planilha reconciliada abriu a caixa de via: 138 das 437 vias têm caixa lida do quadro da planta, 166 recebem a mediana da própria planta e 133 a moda da ilha (12 m), que devolve os mesmos 8 m de antes. A regra de conversão é declarada: caixa até 15 m menos 4,0 m (dois passeios de 2,0 m); de 15 a 20 m menos 5,0 m; acima de 20 m menos 8,0 m (dois passeios de 2,5 m mais canteiro de 3,0 m). A média ponderada resultante é de 8,57 m, contra os 8,00 m da premissa única.</w:t>
      </w:r>
    </w:p>
    <w:p>
      <w:pPr>
        <w:spacing w:after="120"/>
      </w:pPr>
      <w:r>
        <w:rPr>
          <w:b w:val="0"/>
          <w:i w:val="0"/>
          <w:sz w:val="19"/>
        </w:rPr>
        <w:t>A ressalva de alcance, dita de frente: apenas 32% das vias têm caixa efetivamente lida do quadro. A largura deixou de ser um escalar único para toda a ilha, mas ainda não é medição via a via em dois terços dos casos — e é por isso que o piso de 8 m continua publicado ao lado do número adotado, no §3.3. A TERCEIRA camada é a calçada: 29,5% da malha é de planta, e a parcela de passeio que se apoia nela cai junto no cenário conservador. Some-se a isso que o percentual de calçada existente de dois loteamentos foi RETIRADO nesta revisão por não ter leitura que o sustentasse — o que reduz o inventário de calçada, e está registrado como correção contra o argumento deste estudo.</w:t>
      </w:r>
    </w:p>
    <w:p>
      <w:pPr>
        <w:spacing w:after="120" w:before="160"/>
      </w:pPr>
      <w:r>
        <w:rPr>
          <w:b/>
          <w:i w:val="0"/>
          <w:sz w:val="22"/>
        </w:rPr>
        <w:t>3.5 O horizonte: três leituras</w:t>
      </w:r>
    </w:p>
    <w:p>
      <w:pPr>
        <w:spacing w:after="120"/>
      </w:pPr>
      <w:r>
        <w:rPr>
          <w:b w:val="0"/>
          <w:i w:val="0"/>
          <w:sz w:val="19"/>
        </w:rPr>
        <w:t>O QUE O R$ 1 BILHÃO PAGA, E O QUE ELE APENAS DESTRAVA — a distinção decide a leitura desta seção. Os contratos das Bacias 1 e 2 são de MACRODRENAGEM: galerias. A Bacia 1 são 13,5 km de tubulação mais ~125.000 m² de pavimento, e esse pavimento é só o das ruas que precisam ser abertas para assentar a galeria. A drenagem REMOVE O BLOQUEIO que impedia pavimentar o resto do balneário — ela não custeia esse resto. Mesmo que as TRÊS bacias entreguem 125.000 m² cada, somariam 30,8% da pista faltante: cerca de 69% continua sem fonte de custeio identificada, e é dessa parcela que trata o resto desta seção.</w:t>
      </w:r>
    </w:p>
    <w:p>
      <w:pPr>
        <w:spacing w:after="120"/>
      </w:pPr>
      <w:r>
        <w:rPr>
          <w:b w:val="0"/>
          <w:i w:val="0"/>
        </w:rPr>
        <w:t>(i) AS OBRAS CONTRATADAS SÃO O COMEÇO, NÃO O FIM. As Bacias 1 e 2 da macrodrenagem (~R$ 628 mi somados) cobrem cerca de 250.000 m² de pavimentação — 20,5% do que falta. Restam 966.547 m² SEM contrato, equivalentes a 566–713 mil t de produtos de britagem que não estão em nenhuma das camadas catalogadas neste estudo — contando SÓ A PISTA. Somada a calçada dos mesmos trechos, que nenhum edital publicado menciona, o resíduo vai a 605–767 mil t; adota-se a leitura de pista, por ser a menor. O escopo do denominador muda a leitura e por isso vai declarado: os 20,5% são sobre a pista faltante; sobre pista mais calçada a cobertura cai para 14,1%, e considerando contrato assinado apenas a Bacia 1 — a Bacia 2 entra por paridade de valor, premissa nossa — cai para 10,3%.</w:t>
      </w:r>
    </w:p>
    <w:p>
      <w:pPr>
        <w:spacing w:after="120"/>
      </w:pPr>
      <w:r>
        <w:rPr>
          <w:b w:val="0"/>
          <w:i w:val="0"/>
        </w:rPr>
        <w:t>(ii) EM QUALQUER VELOCIDADE, A DEMANDA ULTRAPASSA O FINANCIAMENTO. A Bacia 1 executa 125.000 m² em 1.620 dias contratuais — 28.183 m²/ano por frente. A pergunta “vai ser rápido ou devagar?” não tem resposta nossa a dar, e por isso a tratamos como BRACKET, não como previsão. O quadro abaixo abre as quatro velocidades sobre os 966.547 m² de pista sem contrato: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Frentes simultâneas</w:t>
            </w:r>
          </w:p>
        </w:tc>
        <w:tc>
          <w:tcPr>
            <w:tcW w:type="dxa" w:w="2160"/>
          </w:tcPr>
          <w:p>
            <w:r>
              <w:rPr>
                <w:b/>
                <w:sz w:val="18"/>
              </w:rPr>
              <w:t>Anos para escoar o resíduo</w:t>
            </w:r>
          </w:p>
        </w:tc>
        <w:tc>
          <w:tcPr>
            <w:tcW w:type="dxa" w:w="2160"/>
          </w:tcPr>
          <w:p>
            <w:r>
              <w:rPr>
                <w:b/>
                <w:sz w:val="18"/>
              </w:rPr>
              <w:t>Britagem por ano (mil t)</w:t>
            </w:r>
          </w:p>
        </w:tc>
        <w:tc>
          <w:tcPr>
            <w:tcW w:type="dxa" w:w="2160"/>
          </w:tcPr>
          <w:p>
            <w:r>
              <w:rPr>
                <w:b/>
                <w:sz w:val="18"/>
              </w:rPr>
              <w:t>Observação</w:t>
            </w:r>
          </w:p>
        </w:tc>
      </w:tr>
      <w:tr>
        <w:tc>
          <w:tcPr>
            <w:tcW w:type="dxa" w:w="2160"/>
          </w:tcPr>
          <w:p>
            <w:r>
              <w:rPr>
                <w:sz w:val="18"/>
              </w:rPr>
              <w:t>1</w:t>
            </w:r>
          </w:p>
        </w:tc>
        <w:tc>
          <w:tcPr>
            <w:tcW w:type="dxa" w:w="2160"/>
          </w:tcPr>
          <w:p>
            <w:r>
              <w:rPr>
                <w:sz w:val="18"/>
              </w:rPr>
              <w:t>34</w:t>
            </w:r>
          </w:p>
        </w:tc>
        <w:tc>
          <w:tcPr>
            <w:tcW w:type="dxa" w:w="2160"/>
          </w:tcPr>
          <w:p>
            <w:r>
              <w:rPr>
                <w:sz w:val="18"/>
              </w:rPr>
              <w:t>16,5–20,8</w:t>
            </w:r>
          </w:p>
        </w:tc>
        <w:tc>
          <w:tcPr>
            <w:tcW w:type="dxa" w:w="2160"/>
          </w:tcPr>
          <w:p>
            <w:r>
              <w:rPr>
                <w:sz w:val="18"/>
              </w:rPr>
              <w:t>ritmo de uma bacia por vez</w:t>
            </w:r>
          </w:p>
        </w:tc>
      </w:tr>
      <w:tr>
        <w:tc>
          <w:tcPr>
            <w:tcW w:type="dxa" w:w="2160"/>
          </w:tcPr>
          <w:p>
            <w:r>
              <w:rPr>
                <w:sz w:val="18"/>
              </w:rPr>
              <w:t>2</w:t>
            </w:r>
          </w:p>
        </w:tc>
        <w:tc>
          <w:tcPr>
            <w:tcW w:type="dxa" w:w="2160"/>
          </w:tcPr>
          <w:p>
            <w:r>
              <w:rPr>
                <w:sz w:val="18"/>
              </w:rPr>
              <w:t>17</w:t>
            </w:r>
          </w:p>
        </w:tc>
        <w:tc>
          <w:tcPr>
            <w:tcW w:type="dxa" w:w="2160"/>
          </w:tcPr>
          <w:p>
            <w:r>
              <w:rPr>
                <w:sz w:val="18"/>
              </w:rPr>
              <w:t>33,0–41,6</w:t>
            </w:r>
          </w:p>
        </w:tc>
        <w:tc>
          <w:tcPr>
            <w:tcW w:type="dxa" w:w="2160"/>
          </w:tcPr>
          <w:p>
            <w:r>
              <w:rPr>
                <w:sz w:val="18"/>
              </w:rPr>
              <w:t>duas frentes — é o que roda HOJE: Bacia 2 em obra e Bacia 1 com edital</w:t>
            </w:r>
          </w:p>
        </w:tc>
      </w:tr>
      <w:tr>
        <w:tc>
          <w:tcPr>
            <w:tcW w:type="dxa" w:w="2160"/>
          </w:tcPr>
          <w:p>
            <w:r>
              <w:rPr>
                <w:sz w:val="18"/>
              </w:rPr>
              <w:t>3</w:t>
            </w:r>
          </w:p>
        </w:tc>
        <w:tc>
          <w:tcPr>
            <w:tcW w:type="dxa" w:w="2160"/>
          </w:tcPr>
          <w:p>
            <w:r>
              <w:rPr>
                <w:sz w:val="18"/>
              </w:rPr>
              <w:t>11</w:t>
            </w:r>
          </w:p>
        </w:tc>
        <w:tc>
          <w:tcPr>
            <w:tcW w:type="dxa" w:w="2160"/>
          </w:tcPr>
          <w:p>
            <w:r>
              <w:rPr>
                <w:sz w:val="18"/>
              </w:rPr>
              <w:t>49,5–62,4</w:t>
            </w:r>
          </w:p>
        </w:tc>
        <w:tc>
          <w:tcPr>
            <w:tcW w:type="dxa" w:w="2160"/>
          </w:tcPr>
          <w:p>
            <w:r>
              <w:rPr>
                <w:sz w:val="18"/>
              </w:rPr>
              <w:t>com a Bacia 3 licitada</w:t>
            </w:r>
          </w:p>
        </w:tc>
      </w:tr>
      <w:tr>
        <w:tc>
          <w:tcPr>
            <w:tcW w:type="dxa" w:w="2160"/>
          </w:tcPr>
          <w:p>
            <w:r>
              <w:rPr>
                <w:sz w:val="18"/>
              </w:rPr>
              <w:t>4</w:t>
            </w:r>
          </w:p>
        </w:tc>
        <w:tc>
          <w:tcPr>
            <w:tcW w:type="dxa" w:w="2160"/>
          </w:tcPr>
          <w:p>
            <w:r>
              <w:rPr>
                <w:sz w:val="18"/>
              </w:rPr>
              <w:t>9</w:t>
            </w:r>
          </w:p>
        </w:tc>
        <w:tc>
          <w:tcPr>
            <w:tcW w:type="dxa" w:w="2160"/>
          </w:tcPr>
          <w:p>
            <w:r>
              <w:rPr>
                <w:sz w:val="18"/>
              </w:rPr>
              <w:t>66,1–83,2</w:t>
            </w:r>
          </w:p>
        </w:tc>
        <w:tc>
          <w:tcPr>
            <w:tcW w:type="dxa" w:w="2160"/>
          </w:tcPr>
          <w:p>
            <w:r>
              <w:rPr>
                <w:sz w:val="18"/>
              </w:rPr>
              <w:t>aceleração acima de qualquer precedente local</w:t>
            </w:r>
          </w:p>
        </w:tc>
      </w:tr>
    </w:tbl>
    <w:p>
      <w:pPr>
        <w:spacing w:after="120"/>
      </w:pPr>
      <w:r>
        <w:rPr>
          <w:b w:val="0"/>
          <w:i w:val="0"/>
        </w:rPr>
        <w:t>A leitura que interessa é a simetria: DEVAGAR dá duração — o estoque atravessa o prazo do financiamento e sobra —; RÁPIDO dá volume — a tonelagem anual sobe dentro da janela. Não há cenário de velocidade em que a demanda de Guriri deixe de exceder o horizonte de 14 anos, e é exatamente por isso que este estudo não precisa escolher um. Concluir a pavimentação inteira leva de 22 a 43 anos ao ritmo contratual do próprio Estado — não é projeção nossa, é o cronograma dele aplicado ao inventário auditado.</w:t>
      </w:r>
    </w:p>
    <w:p>
      <w:pPr>
        <w:spacing w:after="120"/>
      </w:pPr>
      <w:r>
        <w:rPr>
          <w:b w:val="0"/>
          <w:i w:val="0"/>
        </w:rPr>
        <w:t>(iii) A ESCALA, EM UNIDADE DE PEDREIRA — E POR QUE NÃO ATRIBUÍMOS CRONOGRAMA. O que falta pavimentar e calçar em Guriri equivale a 3,2 a 4,0 anos de produção INTEGRAL da CIPREM no platô de 237.516 t/ano — de um único balneário, dentro do município-sede. Só a pista em via com traçado MEDIDO, descontado tudo o que é planta, já vale 1,9 a 2,4 anos de platô. Nenhuma tonelada disso está nas projeções de receita, e este estudo NÃO atribui a esse estoque um volume anual nem uma data. Diga-se com precisão, porque a 4ª auditoria cega cobrou a distinção: a abstenção vale para o RESÍDUO SEM CONTRATO — 966.547 m², ou 79,5% da pista faltante. Os 250.000 m² já contratados das Bacias 1 e 2 ESTÃO na cascata de mercado — mas sob o rótulo “obras públicas contratadas”, e contados uma única vez ali, nunca aqui. Não há dupla contagem; há dois rótulos para o mesmo território, e é preciso dizer qual entra onde. Segue a razão de não datar o resíduo: data. A razão é simples e vale declarar: o ritmo depende de decisão orçamentária do Estado e do Município, não da CIPREM. O que se pode afirmar com lastro é a EXISTÊNCIA e a MAGNITUDE do estoque — ambas medidas, ambas auditadas — e o fato de que, em qualquer velocidade dentro do bracket da leitura (ii), ele ultrapassa o prazo do financiamento. Trocar isso por uma projeção anual seria substituir um fato verificável por uma previsão sobre terceiros.</w:t>
      </w:r>
    </w:p>
    <w:p>
      <w:pPr>
        <w:spacing w:after="120"/>
      </w:pPr>
      <w:r>
        <w:rPr>
          <w:b w:val="0"/>
          <w:i/>
          <w:color w:val="595959"/>
          <w:sz w:val="18"/>
        </w:rPr>
        <w:t>Nota de conservadorismo: nenhuma projeção de receita foi alterada por causa deste inventário, em nenhuma das suas três versões. As vendas do plano seguem em 63 mil t (ano 1), 126 mil (ano 2) e 237.516 t/ano do ano 3 em diante. A captura ponderada e o mercado endereçável foram recompostos nesta 14ª rodada — 248–319 e 489–701 mil t/ano, contra 207–245 e 421–577 antes publicados —, por correção da fração de britagem das obras, e não por causa do inventário; pela mesma correção, a participação do platô contra o endereçável CAI de 41–56% para 34%–49%. O inventário não foi usado para aumentar receita — foi usado para demonstrar que a demanda sobrevive ao prazo do financiamento.</w:t>
      </w:r>
    </w:p>
    <w:p>
      <w:pPr>
        <w:spacing w:after="120" w:before="200"/>
      </w:pPr>
      <w:r>
        <w:rPr>
          <w:b/>
          <w:i w:val="0"/>
          <w:sz w:val="26"/>
        </w:rPr>
        <w:t>4. Verificação independente — método e resultado</w:t>
      </w:r>
    </w:p>
    <w:p>
      <w:pPr>
        <w:spacing w:after="120"/>
      </w:pPr>
      <w:r>
        <w:rPr>
          <w:b w:val="0"/>
          <w:i w:val="0"/>
        </w:rPr>
        <w:t>Dois agentes separados participaram desta memória. Um agente PESQUISADOR coletou as 43 evidências do Anexo A sem participar das contas. Um agente AUDITOR, cego às contas do autor, recebeu somente: as âncoras documentais, os fatores setoriais, a tabela de serviço da dívida e a lista das 14 afirmações numéricas — sem nenhuma derivação. Ele refez cada conta em Python, conferiu as âncoras contra as evidências e devolveu veredicto por item.</w:t>
      </w:r>
    </w:p>
    <w:p>
      <w:pPr>
        <w:spacing w:after="120"/>
      </w:pPr>
      <w:r>
        <w:rPr>
          <w:b/>
          <w:i w:val="0"/>
        </w:rPr>
        <w:t>PLACAR: 7 CONFERE · 6 CONFERE COM RESSALVA · 0 DIVERGE · 1 NÃO DERIVÁVEL (parcial). Nenhuma divergência aritmética foi encontrada — nas palavras do relatório, “as contas do estudo reproduzem-se com exatidão”. E a checagem de dupla contagem física entre camadas foi POSITIVA: pavimentação da Bacia 1 (125 mil m²) + Bacia 2 (~106–125 mil) + remanescente (125–150 mil) somam coerentemente a malha completa (350–400 mil m²), sem contar galeria ou pavimento duas vezes.</w:t>
      </w:r>
    </w:p>
    <w:p>
      <w:pPr>
        <w:spacing w:after="120" w:before="160"/>
      </w:pPr>
      <w:r>
        <w:rPr>
          <w:b/>
          <w:i w:val="0"/>
          <w:sz w:val="22"/>
        </w:rPr>
        <w:t>As ressalvas do auditor e o tratamento dado a cada uma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Ressalva do auditor</w:t>
            </w:r>
          </w:p>
        </w:tc>
        <w:tc>
          <w:tcPr>
            <w:tcW w:type="dxa" w:w="2880"/>
          </w:tcPr>
          <w:p>
            <w:r>
              <w:rPr>
                <w:b/>
                <w:sz w:val="18"/>
              </w:rPr>
              <w:t>Tratamento nesta versão</w:t>
            </w:r>
          </w:p>
        </w:tc>
      </w:tr>
      <w:tr>
        <w:tc>
          <w:tcPr>
            <w:tcW w:type="dxa" w:w="2880"/>
          </w:tcPr>
          <w:p>
            <w:r>
              <w:rPr>
                <w:sz w:val="18"/>
              </w:rPr>
              <w:t>2, 6</w:t>
            </w:r>
          </w:p>
        </w:tc>
        <w:tc>
          <w:tcPr>
            <w:tcW w:type="dxa" w:w="2880"/>
          </w:tcPr>
          <w:p>
            <w:r>
              <w:rPr>
                <w:sz w:val="18"/>
              </w:rPr>
              <w:t>Os pisos publicados (300 e 75 mil t) arredondam os exatos (294 e 73,5) para cima em ~2% — direção que favorece a tese.</w:t>
            </w:r>
          </w:p>
        </w:tc>
        <w:tc>
          <w:tcPr>
            <w:tcW w:type="dxa" w:w="2880"/>
          </w:tcPr>
          <w:p>
            <w:r>
              <w:rPr>
                <w:sz w:val="18"/>
              </w:rPr>
              <w:t>Acatado como divulgação: os valores exatos passam a constar ao lado dos publicados nas frases 2 e 6, com a direção do arredondamento declarada.</w:t>
            </w:r>
          </w:p>
        </w:tc>
      </w:tr>
      <w:tr>
        <w:tc>
          <w:tcPr>
            <w:tcW w:type="dxa" w:w="2880"/>
          </w:tcPr>
          <w:p>
            <w:r>
              <w:rPr>
                <w:sz w:val="18"/>
              </w:rPr>
              <w:t>7</w:t>
            </w:r>
          </w:p>
        </w:tc>
        <w:tc>
          <w:tcPr>
            <w:tcW w:type="dxa" w:w="2880"/>
          </w:tcPr>
          <w:p>
            <w:r>
              <w:rPr>
                <w:sz w:val="18"/>
              </w:rPr>
              <w:t>A banda de 31–43% do share incorporado usava razões cruzadas (cenários inconsistentes); pareando, 35,7–37,5% — acima de “um terço”.</w:t>
            </w:r>
          </w:p>
        </w:tc>
        <w:tc>
          <w:tcPr>
            <w:tcW w:type="dxa" w:w="2880"/>
          </w:tcPr>
          <w:p>
            <w:r>
              <w:rPr>
                <w:sz w:val="18"/>
              </w:rPr>
              <w:t>ACATADO INTEGRALMENTE: banda pareada adotada. O rótulo passou então a “pouco mais de um terço”; com o inventário medido (§3) o denominador cresceu 4–5×, e o rótulo vigente é CERCA DE UM DÉCIMO — a ressalva segue acatada, agora em direção ainda mais conservadora.</w:t>
            </w:r>
          </w:p>
        </w:tc>
      </w:tr>
      <w:tr>
        <w:tc>
          <w:tcPr>
            <w:tcW w:type="dxa" w:w="2880"/>
          </w:tcPr>
          <w:p>
            <w:r>
              <w:rPr>
                <w:sz w:val="18"/>
              </w:rPr>
              <w:t>10</w:t>
            </w:r>
          </w:p>
        </w:tc>
        <w:tc>
          <w:tcPr>
            <w:tcW w:type="dxa" w:w="2880"/>
          </w:tcPr>
          <w:p>
            <w:r>
              <w:rPr>
                <w:sz w:val="18"/>
              </w:rPr>
              <w:t>O gap do ano 10 é 583 t (0,6 mil), publicado “1 mil”.</w:t>
            </w:r>
          </w:p>
        </w:tc>
        <w:tc>
          <w:tcPr>
            <w:tcW w:type="dxa" w:w="2880"/>
          </w:tcPr>
          <w:p>
            <w:r>
              <w:rPr>
                <w:sz w:val="18"/>
              </w:rPr>
              <w:t>Acatado: o texto passa a 0,6 mil, com o valor exato.</w:t>
            </w:r>
          </w:p>
        </w:tc>
      </w:tr>
      <w:tr>
        <w:tc>
          <w:tcPr>
            <w:tcW w:type="dxa" w:w="2880"/>
          </w:tcPr>
          <w:p>
            <w:r>
              <w:rPr>
                <w:sz w:val="18"/>
              </w:rPr>
              <w:t>12</w:t>
            </w:r>
          </w:p>
        </w:tc>
        <w:tc>
          <w:tcPr>
            <w:tcW w:type="dxa" w:w="2880"/>
          </w:tcPr>
          <w:p>
            <w:r>
              <w:rPr>
                <w:sz w:val="18"/>
              </w:rPr>
              <w:t>O DSCR de 1,53 no platô seria 1,538→1,54 por extrapolação linear da tabela.</w:t>
            </w:r>
          </w:p>
        </w:tc>
        <w:tc>
          <w:tcPr>
            <w:tcW w:type="dxa" w:w="2880"/>
          </w:tcPr>
          <w:p>
            <w:r>
              <w:rPr>
                <w:sz w:val="18"/>
              </w:rPr>
              <w:t>Esclarecido: 1,53 não vem de extrapolação — é o DSCR mínimo calculado pelo próprio modelo financeiro (1,534, aba Sensibilidade). A extrapolação do auditor confirma o valor com desvio de 0,3%.</w:t>
            </w:r>
          </w:p>
        </w:tc>
      </w:tr>
      <w:tr>
        <w:tc>
          <w:tcPr>
            <w:tcW w:type="dxa" w:w="2880"/>
          </w:tcPr>
          <w:p>
            <w:r>
              <w:rPr>
                <w:sz w:val="18"/>
              </w:rPr>
              <w:t>13</w:t>
            </w:r>
          </w:p>
        </w:tc>
        <w:tc>
          <w:tcPr>
            <w:tcW w:type="dxa" w:w="2880"/>
          </w:tcPr>
          <w:p>
            <w:r>
              <w:rPr>
                <w:sz w:val="18"/>
              </w:rPr>
              <w:t>A faixa técnica de 0,73–1,05 t/m² não era re-derivável do material cego; e o cross-check a 1,0 t/m² fica 29% abaixo do fator ANEPAC sem reconciliação.</w:t>
            </w:r>
          </w:p>
        </w:tc>
        <w:tc>
          <w:tcPr>
            <w:tcW w:type="dxa" w:w="2880"/>
          </w:tcPr>
          <w:p>
            <w:r>
              <w:rPr>
                <w:sz w:val="18"/>
              </w:rPr>
              <w:t>Por desenho: as camadas estão no Anexo B, fora do material cego. A reconciliação consta do próprio Anexo B — o fator 1,4 inclui urbanização acessória, perdas e reforço de subleito; o build-up estrito é o piso técnico, e o cenário a 1,0 t/m² está declarado como teste de robustez (o potencial cai a 350–400 mil t de agregados e AINDA é o dobro do incorporado).</w:t>
            </w:r>
          </w:p>
        </w:tc>
      </w:tr>
      <w:tr>
        <w:tc>
          <w:tcPr>
            <w:tcW w:type="dxa" w:w="2880"/>
          </w:tcPr>
          <w:p>
            <w:r>
              <w:rPr>
                <w:sz w:val="18"/>
              </w:rPr>
              <w:t>14</w:t>
            </w:r>
          </w:p>
        </w:tc>
        <w:tc>
          <w:tcPr>
            <w:tcW w:type="dxa" w:w="2880"/>
          </w:tcPr>
          <w:p>
            <w:r>
              <w:rPr>
                <w:sz w:val="18"/>
              </w:rPr>
              <w:t>O preço de R$ 50–80/t da triangulação por valor não constava do material.</w:t>
            </w:r>
          </w:p>
        </w:tc>
        <w:tc>
          <w:tcPr>
            <w:tcW w:type="dxa" w:w="2880"/>
          </w:tcPr>
          <w:p>
            <w:r>
              <w:rPr>
                <w:sz w:val="18"/>
              </w:rPr>
              <w:t>Correto — é premissa declarada no Anexo B, usada só como teste de plausibilidade (participação dos agregados no valor do contrato), nunca como insumo do modelo.</w:t>
            </w:r>
          </w:p>
        </w:tc>
      </w:tr>
      <w:tr>
        <w:tc>
          <w:tcPr>
            <w:tcW w:type="dxa" w:w="2880"/>
          </w:tcPr>
          <w:p>
            <w:r>
              <w:rPr>
                <w:sz w:val="18"/>
              </w:rPr>
              <w:t>9, 11</w:t>
            </w:r>
          </w:p>
        </w:tc>
        <w:tc>
          <w:tcPr>
            <w:tcW w:type="dxa" w:w="2880"/>
          </w:tcPr>
          <w:p>
            <w:r>
              <w:rPr>
                <w:sz w:val="18"/>
              </w:rPr>
              <w:t>“A partir do ano 6” vale para o pós-rampa (anos 1–2 também cobertos, com folgas de 58 e 50 mil t); a janela “anos 5–10” do Guriri estrutural, então adotada, é premissa.</w:t>
            </w:r>
          </w:p>
        </w:tc>
        <w:tc>
          <w:tcPr>
            <w:tcW w:type="dxa" w:w="2880"/>
          </w:tcPr>
          <w:p>
            <w:r>
              <w:rPr>
                <w:sz w:val="18"/>
              </w:rPr>
              <w:t>Registrado: anos 1–2 cobertos com folga; a janela 5–10 é premissa de ritmo, declarada na frase 6 e no rodapé do exhibit.</w:t>
            </w:r>
          </w:p>
        </w:tc>
      </w:tr>
    </w:tbl>
    <w:p>
      <w:pPr>
        <w:spacing w:after="120" w:before="160"/>
      </w:pPr>
      <w:r>
        <w:rPr>
          <w:b/>
          <w:i w:val="0"/>
          <w:sz w:val="22"/>
        </w:rPr>
        <w:t>Terceira verificação — o inventário de Guriri, auditado ponto a ponto</w:t>
      </w:r>
    </w:p>
    <w:p>
      <w:pPr>
        <w:spacing w:after="120"/>
      </w:pPr>
      <w:r>
        <w:rPr>
          <w:b w:val="0"/>
          <w:i w:val="0"/>
          <w:sz w:val="19"/>
        </w:rPr>
        <w:t>O inventário viário do §3 tem verificação própria, em duas camadas: a auditoria de campo virtual feita por quem produziu o levantamento, e uma TERCEIRA AUDITORIA CEGA nossa, independente das duas auditorias de cálculo anteriores. O auditor cego recebeu apenas a planilha, os fatores e as 14 afirmações numéricas da rodada — sem nenhuma derivação nossa e sem acesso a este documento — com a instrução de tentar DERRUBAR cada uma. PLACAR: 3 CONFERE · 9 CONFERE COM RESSALVA · 2 DIVERGE · 0 NÃO DERIVÁVEL. Foi a mais dura das três auditorias do pacote, e produziu cinco achados materiais.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Achado do auditor cego</w:t>
            </w:r>
          </w:p>
        </w:tc>
        <w:tc>
          <w:tcPr>
            <w:tcW w:type="dxa" w:w="2880"/>
          </w:tcPr>
          <w:p>
            <w:r>
              <w:rPr>
                <w:b/>
                <w:sz w:val="18"/>
              </w:rPr>
              <w:t>Procede?</w:t>
            </w:r>
          </w:p>
        </w:tc>
      </w:tr>
      <w:tr>
        <w:tc>
          <w:tcPr>
            <w:tcW w:type="dxa" w:w="2880"/>
          </w:tcPr>
          <w:p>
            <w:r>
              <w:rPr>
                <w:sz w:val="18"/>
              </w:rPr>
              <w:t>1</w:t>
            </w:r>
          </w:p>
        </w:tc>
        <w:tc>
          <w:tcPr>
            <w:tcW w:type="dxa" w:w="2880"/>
          </w:tcPr>
          <w:p>
            <w:r>
              <w:rPr>
                <w:sz w:val="18"/>
              </w:rPr>
              <w:t>A contagem de pontos não fechava: o resumo declarava 637, mas as 21 abas somavam 496 via a via — o mesmo número por dois caminhos independentes</w:t>
            </w:r>
          </w:p>
        </w:tc>
        <w:tc>
          <w:tcPr>
            <w:tcW w:type="dxa" w:w="2880"/>
          </w:tcPr>
          <w:p>
            <w:r>
              <w:rPr>
                <w:sz w:val="18"/>
              </w:rPr>
              <w:t>SIM</w:t>
            </w:r>
          </w:p>
        </w:tc>
      </w:tr>
      <w:tr>
        <w:tc>
          <w:tcPr>
            <w:tcW w:type="dxa" w:w="2880"/>
          </w:tcPr>
          <w:p>
            <w:r>
              <w:rPr>
                <w:sz w:val="18"/>
              </w:rPr>
              <w:t>2</w:t>
            </w:r>
          </w:p>
        </w:tc>
        <w:tc>
          <w:tcPr>
            <w:tcW w:type="dxa" w:w="2880"/>
          </w:tcPr>
          <w:p>
            <w:r>
              <w:rPr>
                <w:sz w:val="18"/>
              </w:rPr>
              <w:t>Três loteamentos sem nenhum ponto próprio nas abas, mas com pontos atribuídos no resumo; e a partição declarada de fontes não batia com a rastreável</w:t>
            </w:r>
          </w:p>
        </w:tc>
        <w:tc>
          <w:tcPr>
            <w:tcW w:type="dxa" w:w="2880"/>
          </w:tcPr>
          <w:p>
            <w:r>
              <w:rPr>
                <w:sz w:val="18"/>
              </w:rPr>
              <w:t>SIM</w:t>
            </w:r>
          </w:p>
        </w:tc>
      </w:tr>
      <w:tr>
        <w:tc>
          <w:tcPr>
            <w:tcW w:type="dxa" w:w="2880"/>
          </w:tcPr>
          <w:p>
            <w:r>
              <w:rPr>
                <w:sz w:val="18"/>
              </w:rPr>
              <w:t>3</w:t>
            </w:r>
          </w:p>
        </w:tc>
        <w:tc>
          <w:tcPr>
            <w:tcW w:type="dxa" w:w="2880"/>
          </w:tcPr>
          <w:p>
            <w:r>
              <w:rPr>
                <w:sz w:val="18"/>
              </w:rPr>
              <w:t>O escopo alternava entre “pista” e “pista mais calçada” sem declarar qual estava em uso, sempre na direção que aumentava o número</w:t>
            </w:r>
          </w:p>
        </w:tc>
        <w:tc>
          <w:tcPr>
            <w:tcW w:type="dxa" w:w="2880"/>
          </w:tcPr>
          <w:p>
            <w:r>
              <w:rPr>
                <w:sz w:val="18"/>
              </w:rPr>
              <w:t>SIM — em 7 das 14 afirmações</w:t>
            </w:r>
          </w:p>
        </w:tc>
      </w:tr>
      <w:tr>
        <w:tc>
          <w:tcPr>
            <w:tcW w:type="dxa" w:w="2880"/>
          </w:tcPr>
          <w:p>
            <w:r>
              <w:rPr>
                <w:sz w:val="18"/>
              </w:rPr>
              <w:t>4</w:t>
            </w:r>
          </w:p>
        </w:tc>
        <w:tc>
          <w:tcPr>
            <w:tcW w:type="dxa" w:w="2880"/>
          </w:tcPr>
          <w:p>
            <w:r>
              <w:rPr>
                <w:sz w:val="18"/>
              </w:rPr>
              <w:t>Dizer que o resíduo escoa em 20 anos contradizia o prazo do ritmo de uma bacia</w:t>
            </w:r>
          </w:p>
        </w:tc>
        <w:tc>
          <w:tcPr>
            <w:tcW w:type="dxa" w:w="2880"/>
          </w:tcPr>
          <w:p>
            <w:r>
              <w:rPr>
                <w:sz w:val="18"/>
              </w:rPr>
              <w:t>SIM — contradição real</w:t>
            </w:r>
          </w:p>
        </w:tc>
      </w:tr>
      <w:tr>
        <w:tc>
          <w:tcPr>
            <w:tcW w:type="dxa" w:w="2880"/>
          </w:tcPr>
          <w:p>
            <w:r>
              <w:rPr>
                <w:sz w:val="18"/>
              </w:rPr>
              <w:t>5</w:t>
            </w:r>
          </w:p>
        </w:tc>
        <w:tc>
          <w:tcPr>
            <w:tcW w:type="dxa" w:w="2880"/>
          </w:tcPr>
          <w:p>
            <w:r>
              <w:rPr>
                <w:sz w:val="18"/>
              </w:rPr>
              <w:t>O share usava o inventário completo como denominador, não a base medida</w:t>
            </w:r>
          </w:p>
        </w:tc>
        <w:tc>
          <w:tcPr>
            <w:tcW w:type="dxa" w:w="2880"/>
          </w:tcPr>
          <w:p>
            <w:r>
              <w:rPr>
                <w:sz w:val="18"/>
              </w:rPr>
              <w:t>SIM — “medido” tinha dois sentidos</w:t>
            </w:r>
          </w:p>
        </w:tc>
      </w:tr>
      <w:tr>
        <w:tc>
          <w:tcPr>
            <w:tcW w:type="dxa" w:w="2880"/>
          </w:tcPr>
          <w:p>
            <w:r>
              <w:rPr>
                <w:sz w:val="18"/>
              </w:rPr>
              <w:t>—</w:t>
            </w:r>
          </w:p>
        </w:tc>
        <w:tc>
          <w:tcPr>
            <w:tcW w:type="dxa" w:w="2880"/>
          </w:tcPr>
          <w:p>
            <w:r>
              <w:rPr>
                <w:sz w:val="18"/>
              </w:rPr>
              <w:t>Dupla contagem entre pista e calçada</w:t>
            </w:r>
          </w:p>
        </w:tc>
        <w:tc>
          <w:tcPr>
            <w:tcW w:type="dxa" w:w="2880"/>
          </w:tcPr>
          <w:p>
            <w:r>
              <w:rPr>
                <w:sz w:val="18"/>
              </w:rPr>
              <w:t>PROCUROU E NÃO ENCONTROU</w:t>
            </w:r>
          </w:p>
        </w:tc>
      </w:tr>
      <w:tr>
        <w:tc>
          <w:tcPr>
            <w:tcW w:type="dxa" w:w="2880"/>
          </w:tcPr>
          <w:p>
            <w:r>
              <w:rPr>
                <w:sz w:val="18"/>
              </w:rPr>
              <w:t>—</w:t>
            </w:r>
          </w:p>
        </w:tc>
        <w:tc>
          <w:tcPr>
            <w:tcW w:type="dxa" w:w="2880"/>
          </w:tcPr>
          <w:p>
            <w:r>
              <w:rPr>
                <w:sz w:val="18"/>
              </w:rPr>
              <w:t>Não existia coluna de largura; os 8 m eram escalar sem base</w:t>
            </w:r>
          </w:p>
        </w:tc>
        <w:tc>
          <w:tcPr>
            <w:tcW w:type="dxa" w:w="2880"/>
          </w:tcPr>
          <w:p>
            <w:r>
              <w:rPr>
                <w:sz w:val="18"/>
              </w:rPr>
              <w:t>SIM — levado à fonte (item 4 do quadro seguinte)</w:t>
            </w:r>
          </w:p>
        </w:tc>
      </w:tr>
    </w:tbl>
    <w:p>
      <w:pPr>
        <w:spacing w:after="120"/>
      </w:pPr>
      <w:r>
        <w:rPr>
          <w:b w:val="0"/>
          <w:i w:val="0"/>
          <w:sz w:val="19"/>
        </w:rPr>
        <w:t>Os achados 3, 4 e 5 foram corrigidos por nós na hora, dentro do próprio documento: o escopo passou a ser declarado em cada linha, o horizonte adotou PISTA SÓ como número de referência, o escoamento passou a correr ao ritmo contratual do Estado — deixando de ser argumento de magnitude para ser de DURAÇÃO — e as duas leituras de share passaram a ser publicadas lado a lado. Os achados 1, 2 e o da largura dependiam da fonte, e foram levados a ela por escrito.</w:t>
      </w:r>
    </w:p>
    <w:p>
      <w:pPr>
        <w:spacing w:after="120"/>
      </w:pPr>
      <w:r>
        <w:rPr>
          <w:b w:val="0"/>
          <w:i w:val="0"/>
          <w:color w:val="595959"/>
          <w:sz w:val="19"/>
        </w:rPr>
        <w:t>Uma ressalva do auditor foi verificada e NÃO acatada, e vale dizer por quê: ele apontou que o Soma Cevolani é lançado como 100% pavimentado tendo confiança baixa. A pavimentação está amparada em 30 pontos de satélite com sinalização e meio-fio visíveis; e, se caísse, a falta a pavimentar SUBIRIA. É a única linha do inventário em que a incerteza joga a favor de quem analisa, e por isso fica como está. Registre-se também um defeito de forma nosso: o mapa de colunas entregue ao auditor cego estava deslocado em uma coluna em relação à planilha; ele auditou por nome de campo e o erro não contaminou nenhum resultado.</w:t>
      </w:r>
    </w:p>
    <w:p>
      <w:pPr>
        <w:spacing w:after="120"/>
      </w:pPr>
      <w:r>
        <w:rPr>
          <w:b w:val="0"/>
          <w:i w:val="0"/>
          <w:sz w:val="19"/>
        </w:rPr>
        <w:t>Conferências aritméticas refeitas por leitura direta da planilha (nenhuma constante digitada): a soma das 21 linhas fecha com o total geral, ao centésimo, nas doze colunas somáveis — as de percentual não são somáveis e a área oficial não tem total na fonte; 51.378,8 + 141.996 = 193.374,8 m de extensão; 496 + 141 = 637 pontos; a área de pista de cada via igual a falta × largura da própria via, sem um erro em 437; e a camada de confiança repartida por via, não por rateio: 760.511 + 456.036 = 1.216.547 m², resíduo zero. A pendência declarada em versões anteriores — a quebra por loteamento — está resolvida no Anexo A-3, e a auditoria de pontos, no Anexo A-4.</w:t>
      </w:r>
    </w:p>
    <w:p>
      <w:pPr>
        <w:spacing w:after="120" w:before="160"/>
      </w:pPr>
      <w:r>
        <w:rPr>
          <w:b/>
          <w:i w:val="0"/>
          <w:sz w:val="22"/>
        </w:rPr>
        <w:t>Desfecho da terceira auditoria — a fonte respondeu e reemitiu a planilha</w:t>
      </w:r>
    </w:p>
    <w:p>
      <w:pPr>
        <w:spacing w:after="120"/>
      </w:pPr>
      <w:r>
        <w:rPr>
          <w:b w:val="0"/>
          <w:i w:val="0"/>
          <w:sz w:val="19"/>
        </w:rPr>
        <w:t>Os cinco achados da auditoria acima foram levados por escrito a quem produziu o levantamento. A resposta veio com a planilha REEMITIDA, e os cinco procedem — nenhum foi contestado. Três eram falha de exposição: o dado existia e estava mal apresentado. Dois eram números sem base, que foram retirados. Antes de adotar a versão nova, refizemos doze checagens independentes sobre ela; todas fecham, e estão embutidas como asserções no motor que alimenta este documento.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Achado</w:t>
            </w:r>
          </w:p>
        </w:tc>
        <w:tc>
          <w:tcPr>
            <w:tcW w:type="dxa" w:w="2880"/>
          </w:tcPr>
          <w:p>
            <w:r>
              <w:rPr>
                <w:b/>
                <w:sz w:val="18"/>
              </w:rPr>
              <w:t>Desfecho na planilha reemitida</w:t>
            </w:r>
          </w:p>
        </w:tc>
        <w:tc>
          <w:tcPr>
            <w:tcW w:type="dxa" w:w="2880"/>
          </w:tcPr>
          <w:p>
            <w:r>
              <w:rPr>
                <w:b/>
                <w:sz w:val="18"/>
              </w:rPr>
              <w:t>Efeito no pacote</w:t>
            </w:r>
          </w:p>
        </w:tc>
      </w:tr>
      <w:tr>
        <w:tc>
          <w:tcPr>
            <w:tcW w:type="dxa" w:w="2880"/>
          </w:tcPr>
          <w:p>
            <w:r>
              <w:rPr>
                <w:sz w:val="18"/>
              </w:rPr>
              <w:t>Os 637 pontos declarados não se abriam por via — só 496 eram somáveis</w:t>
            </w:r>
          </w:p>
        </w:tc>
        <w:tc>
          <w:tcPr>
            <w:tcW w:type="dxa" w:w="2880"/>
          </w:tcPr>
          <w:p>
            <w:r>
              <w:rPr>
                <w:sz w:val="18"/>
              </w:rPr>
              <w:t>Os 141 restantes foram verificados sobre traçado existente, em vias sem nome no mapa; a planilha passa a reportar as duas colunas e traz TODOS os 637 listados um a um, com coordenada, fonte e data</w:t>
            </w:r>
          </w:p>
        </w:tc>
        <w:tc>
          <w:tcPr>
            <w:tcW w:type="dxa" w:w="2880"/>
          </w:tcPr>
          <w:p>
            <w:r>
              <w:rPr>
                <w:sz w:val="18"/>
              </w:rPr>
              <w:t>VOLTA a citar 637 pontos, agora com a partição declarada e verificável (Anexo A-4)</w:t>
            </w:r>
          </w:p>
        </w:tc>
      </w:tr>
      <w:tr>
        <w:tc>
          <w:tcPr>
            <w:tcW w:type="dxa" w:w="2880"/>
          </w:tcPr>
          <w:p>
            <w:r>
              <w:rPr>
                <w:sz w:val="18"/>
              </w:rPr>
              <w:t>A partição 517 Street View / 120 satélite não batia com a rastreável (462/34)</w:t>
            </w:r>
          </w:p>
        </w:tc>
        <w:tc>
          <w:tcPr>
            <w:tcW w:type="dxa" w:w="2880"/>
          </w:tcPr>
          <w:p>
            <w:r>
              <w:rPr>
                <w:sz w:val="18"/>
              </w:rPr>
              <w:t>Confere: a diferença é a partição dos 141 de malha — 55 Street View e 86 satélite</w:t>
            </w:r>
          </w:p>
        </w:tc>
        <w:tc>
          <w:tcPr>
            <w:tcW w:type="dxa" w:w="2880"/>
          </w:tcPr>
          <w:p>
            <w:r>
              <w:rPr>
                <w:sz w:val="18"/>
              </w:rPr>
              <w:t>Declarado no §3.1; registra-se que a auditoria NÃO é integralmente de Street View</w:t>
            </w:r>
          </w:p>
        </w:tc>
      </w:tr>
      <w:tr>
        <w:tc>
          <w:tcPr>
            <w:tcW w:type="dxa" w:w="2880"/>
          </w:tcPr>
          <w:p>
            <w:r>
              <w:rPr>
                <w:sz w:val="18"/>
              </w:rPr>
              <w:t>A densidade real não era de ~350 m por ponto</w:t>
            </w:r>
          </w:p>
        </w:tc>
        <w:tc>
          <w:tcPr>
            <w:tcW w:type="dxa" w:w="2880"/>
          </w:tcPr>
          <w:p>
            <w:r>
              <w:rPr>
                <w:sz w:val="18"/>
              </w:rPr>
              <w:t>A regra é por trecho contínuo, com mínimo de 1 ponto por trecho — o ~350 m é alvo para trechos longos</w:t>
            </w:r>
          </w:p>
        </w:tc>
        <w:tc>
          <w:tcPr>
            <w:tcW w:type="dxa" w:w="2880"/>
          </w:tcPr>
          <w:p>
            <w:r>
              <w:rPr>
                <w:sz w:val="18"/>
              </w:rPr>
              <w:t>Regra correta no §3.1, com a mediana efetiva de 267 m</w:t>
            </w:r>
          </w:p>
        </w:tc>
      </w:tr>
      <w:tr>
        <w:tc>
          <w:tcPr>
            <w:tcW w:type="dxa" w:w="2880"/>
          </w:tcPr>
          <w:p>
            <w:r>
              <w:rPr>
                <w:sz w:val="18"/>
              </w:rPr>
              <w:t>Não existia coluna de largura: os 8 m eram escalar</w:t>
            </w:r>
          </w:p>
        </w:tc>
        <w:tc>
          <w:tcPr>
            <w:tcW w:type="dxa" w:w="2880"/>
          </w:tcPr>
          <w:p>
            <w:r>
              <w:rPr>
                <w:sz w:val="18"/>
              </w:rPr>
              <w:t>A caixa de via foi aberta: 138 das 437 vias com caixa lida do quadro da planta, regra de conversão declarada, m² calculado via a via</w:t>
            </w:r>
          </w:p>
        </w:tc>
        <w:tc>
          <w:tcPr>
            <w:tcW w:type="dxa" w:w="2880"/>
          </w:tcPr>
          <w:p>
            <w:r>
              <w:rPr>
                <w:sz w:val="18"/>
              </w:rPr>
              <w:t>Área de pista sobe 7,1% — mudança FAVORÁVEL, por isso o piso de 8 m segue publicado ao lado (§3.3)</w:t>
            </w:r>
          </w:p>
        </w:tc>
      </w:tr>
      <w:tr>
        <w:tc>
          <w:tcPr>
            <w:tcW w:type="dxa" w:w="2880"/>
          </w:tcPr>
          <w:p>
            <w:r>
              <w:rPr>
                <w:sz w:val="18"/>
              </w:rPr>
              <w:t>O % de calçada de três loteamentos não tinha lastro na aba</w:t>
            </w:r>
          </w:p>
        </w:tc>
        <w:tc>
          <w:tcPr>
            <w:tcW w:type="dxa" w:w="2880"/>
          </w:tcPr>
          <w:p>
            <w:r>
              <w:rPr>
                <w:sz w:val="18"/>
              </w:rPr>
              <w:t>Dois deles (nº 78 e nº 80) não tinham nenhuma leitura válida e foram marcados NÃO MEDIDO; o terceiro tem lastro real e foi mantido</w:t>
            </w:r>
          </w:p>
        </w:tc>
        <w:tc>
          <w:tcPr>
            <w:tcW w:type="dxa" w:w="2880"/>
          </w:tcPr>
          <w:p>
            <w:r>
              <w:rPr>
                <w:sz w:val="18"/>
              </w:rPr>
              <w:t>Inventário de calçada CAI — correção contra o argumento deste estudo</w:t>
            </w:r>
          </w:p>
        </w:tc>
      </w:tr>
      <w:tr>
        <w:tc>
          <w:tcPr>
            <w:tcW w:type="dxa" w:w="2880"/>
          </w:tcPr>
          <w:p>
            <w:r>
              <w:rPr>
                <w:sz w:val="18"/>
              </w:rPr>
              <w:t>O Soma Cevolani aparecia 100% pavimentado sem ponto próprio</w:t>
            </w:r>
          </w:p>
        </w:tc>
        <w:tc>
          <w:tcPr>
            <w:tcW w:type="dxa" w:w="2880"/>
          </w:tcPr>
          <w:p>
            <w:r>
              <w:rPr>
                <w:sz w:val="18"/>
              </w:rPr>
              <w:t>A pavimentação se apoia em 30 pontos de satélite com meio-fio, sarjeta, faixas de pedestre e rotatória visíveis, todos com coordenada; o que não está estabelecido é a correspondência entre a grade observada e os nomes das 8 vias da planta</w:t>
            </w:r>
          </w:p>
        </w:tc>
        <w:tc>
          <w:tcPr>
            <w:tcW w:type="dxa" w:w="2880"/>
          </w:tcPr>
          <w:p>
            <w:r>
              <w:rPr>
                <w:sz w:val="18"/>
              </w:rPr>
              <w:t>Pavimentação mantida com a evidência citada; a correspondência via a via fica declarada como a confirmar</w:t>
            </w:r>
          </w:p>
        </w:tc>
      </w:tr>
    </w:tbl>
    <w:p>
      <w:pPr>
        <w:spacing w:after="120"/>
      </w:pPr>
      <w:r>
        <w:rPr>
          <w:b w:val="0"/>
          <w:i w:val="0"/>
          <w:color w:val="595959"/>
          <w:sz w:val="19"/>
        </w:rPr>
        <w:t>As doze checagens que fizemos antes de adotar a versão nova: soma das 21 linhas igual ao total nas doze colunas somáveis, com resíduo zero; 496 + 141 = 637; a aba de pontos com ids 1 a 637 sem repetição; as 637 coordenadas dentro do polígono de Guriri e sem duplicatas; a partição 517/120 exata; o teste de falseabilidade da data de imagem; a distribuição das datas; a partição dos pontos de malha por loteamento e por fonte; a regra caixa→pista em cada uma das 437 vias, sem um erro; o m² de cada via igual a falta × largura, sem um erro; a extensão representada por ponto; e o total de passeio com os dois loteamentos retirados. Nenhuma passou sem conferir.</w:t>
      </w:r>
    </w:p>
    <w:p>
      <w:pPr>
        <w:spacing w:after="120" w:before="160"/>
      </w:pPr>
      <w:r>
        <w:rPr>
          <w:b/>
          <w:i w:val="0"/>
          <w:sz w:val="22"/>
        </w:rPr>
        <w:t>Segunda auditoria — a rodada dos coeficientes</w:t>
      </w:r>
    </w:p>
    <w:p>
      <w:pPr>
        <w:spacing w:after="120"/>
      </w:pPr>
      <w:r>
        <w:rPr>
          <w:b w:val="0"/>
          <w:i w:val="0"/>
          <w:sz w:val="19"/>
        </w:rPr>
        <w:t>Quando os coeficientes foram rebaseados nas composições oficiais, uma SEGUNDA auditoria cega re-derivou as 10 afirmações novas (banda por camada, cascata de Guriri, reconstrução obra a obra, participação da brita). PLACAR: 5 CONFERE · 4 CONFERE COM RESSALVA · 0 DIVERGE · 1 NÃO DERIVÁVEL. Tratamento de cada ressalva: (a) bandas exibidas ajustadas ao arredondamento exato — 0,73–0,93 t/m² (teto exato 0,9348) e 0,62–0,78 t/m² (piso exato 0,6249); os totais de Guriri não mudam, pois já eram calculados com os valores exatos; (b) declarado que a fração de brita dos concretos INCLUI a drenagem superficial, e que o rejunte foi tratado como areia (conservador); (c) a premissa de faseamento do Guriri estrutural (anos 5–10 = 6 anos) passou a ser explícita na frase 6 — era ela que faltava ao material cego (o item NÃO DERIVÁVEL) — camada posteriormente RETIRADA do pacote, por desnecessária e atacável (frase 6); (d) a relação com a faixa publicada foi reescrita com precisão: teto coincidente, piso publicado ~3% mais conservador; (e) a geometria de galeria está no Anexo B, fora do material cego por desenho.</w:t>
      </w:r>
    </w:p>
    <w:p>
      <w:pPr>
        <w:spacing w:after="120" w:before="160"/>
      </w:pPr>
      <w:r>
        <w:rPr>
          <w:b/>
          <w:i w:val="0"/>
          <w:sz w:val="22"/>
        </w:rPr>
        <w:t>Os achados transversais e sua resolução</w:t>
      </w:r>
    </w:p>
    <w:p>
      <w:pPr>
        <w:spacing w:after="120"/>
      </w:pPr>
      <w:r>
        <w:rPr>
          <w:b w:val="0"/>
          <w:i w:val="0"/>
        </w:rPr>
        <w:t>(a) UNIDADE DA CAPTURA — o achado mais importante do auditor, RESOLVIDO POR FATO: com o material cego, ele alertou que, se a captura de 165–185 mil t/ano estivesse em agregados totais e a planta vendesse só brita, a captura-brita cairia a ~69 mil t/ano. A informação que faltava ao material: o índice de 1,669 t/hab/ano É um índice de brita — numerador = vendas de granito britado declaradas à ANM (RAL 2025), e a checagem ANEPAC (4,1 × 41,6% ≈ 1,7) é exatamente a fatia da brita no consumo de agregados. Captura, camadas, produção exigida e platô estão na mesma unidade (produtos de britagem), como o §2 agora declara expressamente. (b) SOBREPOSIÇÃO índice × camadas: o auditor observou, com razão, que o índice per capita embute um nível MÉDIO histórico de obras; por isso as conclusões (i) e (ii) do §2 usam SOMENTE a captura recorrente, sem nenhuma camada — como o próprio relatório reconhece (“as afirmações 9–10, isoladamente, usam só a captura — corretas”) — e as camadas cobrem apenas o gap residual, legitimadas pelo caráter extraordinário do ciclo (&gt;R$ 1 bi, sem precedente na série histórica municipal). (c) ES-318: “Contorno de São Mateus” e “Contorno de Guriri” são a mesma obra; os pares 24,26 km/R$ 164 mi e 24,6 km/R$ 190,2 mi são original × aditivos (impacto −0,4%, imaterial). (d) BACIA 2: o prazo contratual (43 meses) destoa da previsão pública (fim de 2028) — atraso reconhecido na frase 7; empurra demanda para mais tarde. (e) JANELA de 4 × ~6 anos: tratada na frase 3 — o total não muda e a janela longa cobre os anos do gap.</w:t>
      </w:r>
    </w:p>
    <w:p>
      <w:pPr>
        <w:spacing w:after="120" w:before="160"/>
      </w:pPr>
      <w:r>
        <w:rPr>
          <w:b/>
          <w:i w:val="0"/>
          <w:sz w:val="22"/>
        </w:rPr>
        <w:t>Quarta verificação — a fração de britagem das obras, e o número que ela derrubou</w:t>
      </w:r>
    </w:p>
    <w:p>
      <w:pPr>
        <w:spacing w:after="120"/>
      </w:pPr>
      <w:r>
        <w:rPr>
          <w:b w:val="0"/>
          <w:i w:val="0"/>
        </w:rPr>
        <w:t>Esta rodada nasceu de uma pergunta do próprio empreendedor, não de uma auditoria programada: por que o pacote aplicava 86% de produtos de britagem à pavimentação de Guriri e apenas 42% às obras públicas, se ambas são obra de pavimentação? A pergunta foi levada a um agente IMPARCIAL, sem acesso às nossas contas, com uma instrução única — dizer qual das duas frações estava errada. O veredicto: a das obras públicas, SUBESTIMADA por 1.89× a 2.24×.</w:t>
      </w:r>
    </w:p>
    <w:p>
      <w:pPr>
        <w:spacing w:after="120"/>
      </w:pPr>
      <w:r>
        <w:rPr>
          <w:b w:val="0"/>
          <w:i w:val="0"/>
        </w:rPr>
        <w:t>O argumento que encerrou a discussão é físico, e vale reproduzi-lo porque é o mesmo que um analista faria: aplicar 42% a estas frentes implica afirmar que mais de 400 mil t desta obra seriam AREIA NATURAL — o que não existe num pacote cujo maior item de massa é base e sub-base granular, 100% rocha britada. O erro tinha duas camadas. A primeira, de universo: os 42% da ANEPAC medem a participação da brita na PRODUÇÃO NACIONAL de agregados, média puxada por EDIFICAÇÃO — argamassa, contrapiso, alvenaria —, intensiva em areia natural; obra rodoviária e de macrodrenagem é o extremo oposto da mesma distribuição. A segunda, de definição: a CIPREM vende PRODUTOS DE BRITAGEM, e descartar 58% da massa como “areia” joga fora o pó de pedra, a brita graduada e a bica corrida, que são o miolo do faturamento de uma britagem de granito.</w:t>
      </w:r>
    </w:p>
    <w:p>
      <w:pPr>
        <w:spacing w:after="120" w:before="160"/>
      </w:pPr>
      <w:r>
        <w:rPr>
          <w:b/>
          <w:i w:val="0"/>
          <w:sz w:val="22"/>
        </w:rPr>
        <w:t>O placar da quarta auditoria cega, e o que ela derrubou</w:t>
      </w:r>
    </w:p>
    <w:p>
      <w:pPr>
        <w:spacing w:after="120"/>
      </w:pPr>
      <w:r>
        <w:rPr>
          <w:b w:val="0"/>
          <w:i w:val="0"/>
        </w:rPr>
        <w:t>Fechada a correção, as 27 afirmações do pacote — as 16 do inventário de Guriri, que haviam ficado pendentes, mais as 11 desta rodada — foram submetidas a uma QUARTA auditoria cega, com a mesma disciplina das anteriores: só as âncoras, os fatores e as afirmações, sem nenhuma derivação nossa, e com a instrução explícita de que derrubar um número vale mais do que confirmá-lo. PLACAR: 21 CONFERE · 5 CONFERE COM RESSALVA · 1 DIVERGE · 0 NÃO DERIVÁVEL. Sobre o inventário, o veredicto foi que a planilha é internamente sólida — as 437 vias obedecem 100% à regra de largura, 100% à identidade área = falta × largura e 100% à identidade pavimentado + falta = extensão, e as quinze colunas somáveis fecham com o total no resíduo do ponto flutuante. Nenhum erro de conta foi encontrado. O que foi encontrado está tratado abaixo, e mudou números publicados.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Achado</w:t>
            </w:r>
          </w:p>
        </w:tc>
        <w:tc>
          <w:tcPr>
            <w:tcW w:type="dxa" w:w="2880"/>
          </w:tcPr>
          <w:p>
            <w:r>
              <w:rPr>
                <w:b/>
                <w:sz w:val="18"/>
              </w:rPr>
              <w:t>Veredicto</w:t>
            </w:r>
          </w:p>
        </w:tc>
        <w:tc>
          <w:tcPr>
            <w:tcW w:type="dxa" w:w="2880"/>
          </w:tcPr>
          <w:p>
            <w:r>
              <w:rPr>
                <w:b/>
                <w:sz w:val="18"/>
              </w:rPr>
              <w:t>O que fizemos</w:t>
            </w:r>
          </w:p>
        </w:tc>
      </w:tr>
      <w:tr>
        <w:tc>
          <w:tcPr>
            <w:tcW w:type="dxa" w:w="2880"/>
          </w:tcPr>
          <w:p>
            <w:r>
              <w:rPr>
                <w:sz w:val="18"/>
              </w:rPr>
              <w:t>Captura ponderada — a faixa publicada era 248–320</w:t>
            </w:r>
          </w:p>
        </w:tc>
        <w:tc>
          <w:tcPr>
            <w:tcW w:type="dxa" w:w="2880"/>
          </w:tcPr>
          <w:p>
            <w:r>
              <w:rPr>
                <w:sz w:val="18"/>
              </w:rPr>
              <w:t>DIVERGE</w:t>
            </w:r>
          </w:p>
        </w:tc>
        <w:tc>
          <w:tcPr>
            <w:tcW w:type="dxa" w:w="2880"/>
          </w:tcPr>
          <w:p>
            <w:r>
              <w:rPr>
                <w:sz w:val="18"/>
              </w:rPr>
              <w:t>ACATADO. O par não era obtido por nenhuma convenção única de arredondamento: o piso vinha dos insumos arredondados e o teto, dos exatos. Passa a 248–319, com a mesma convenção nos dois lados — a que o leitor consegue refazer com os números publicados. A conclusão não muda: o piso da captura segue acima do platô nas três convenções testadas</w:t>
            </w:r>
          </w:p>
        </w:tc>
      </w:tr>
      <w:tr>
        <w:tc>
          <w:tcPr>
            <w:tcW w:type="dxa" w:w="2880"/>
          </w:tcPr>
          <w:p>
            <w:r>
              <w:rPr>
                <w:sz w:val="18"/>
              </w:rPr>
              <w:t>Mercado endereçável — a âncora de 421–577 não fechava com os próprios componentes (420–578)</w:t>
            </w:r>
          </w:p>
        </w:tc>
        <w:tc>
          <w:tcPr>
            <w:tcW w:type="dxa" w:w="2880"/>
          </w:tcPr>
          <w:p>
            <w:r>
              <w:rPr>
                <w:sz w:val="18"/>
              </w:rPr>
              <w:t>RESSALVA</w:t>
            </w:r>
          </w:p>
        </w:tc>
        <w:tc>
          <w:tcPr>
            <w:tcW w:type="dxa" w:w="2880"/>
          </w:tcPr>
          <w:p>
            <w:r>
              <w:rPr>
                <w:sz w:val="18"/>
              </w:rPr>
              <w:t>ACATADO. O endereçável passa a ser SOMADO das camadas publicadas, e não remendado sobre um total herdado: 260–296 (base) + 26–53 (Jaguaré) + 64–129 (entrega própria) + a camada de obras. Agora quem somar as parcelas chega ao total</w:t>
            </w:r>
          </w:p>
        </w:tc>
      </w:tr>
      <w:tr>
        <w:tc>
          <w:tcPr>
            <w:tcW w:type="dxa" w:w="2880"/>
          </w:tcPr>
          <w:p>
            <w:r>
              <w:rPr>
                <w:sz w:val="18"/>
              </w:rPr>
              <w:t>Teto de 99% da terceira faixa da BR-101</w:t>
            </w:r>
          </w:p>
        </w:tc>
        <w:tc>
          <w:tcPr>
            <w:tcW w:type="dxa" w:w="2880"/>
          </w:tcPr>
          <w:p>
            <w:r>
              <w:rPr>
                <w:sz w:val="18"/>
              </w:rPr>
              <w:t>H1 — julgamento técnico</w:t>
            </w:r>
          </w:p>
        </w:tc>
        <w:tc>
          <w:tcPr>
            <w:tcW w:type="dxa" w:w="2880"/>
          </w:tcPr>
          <w:p>
            <w:r>
              <w:rPr>
                <w:sz w:val="18"/>
              </w:rPr>
              <w:t>ACATADO. 99% exigiria zero areia natural E zero dispositivo de concreto — sarjeta, meio-fio, descida d’água, barreira —, o que nenhum contrato de terceira faixa cumpre. Teto recuado a 96%, o que baixa a fração agregada de 94,4% para 94,1%</w:t>
            </w:r>
          </w:p>
        </w:tc>
      </w:tr>
      <w:tr>
        <w:tc>
          <w:tcPr>
            <w:tcW w:type="dxa" w:w="2880"/>
          </w:tcPr>
          <w:p>
            <w:r>
              <w:rPr>
                <w:sz w:val="18"/>
              </w:rPr>
              <w:t>Tetos de concreto — galerias 85%, OAE 85%, Bacia 2 91%</w:t>
            </w:r>
          </w:p>
        </w:tc>
        <w:tc>
          <w:tcPr>
            <w:tcW w:type="dxa" w:w="2880"/>
          </w:tcPr>
          <w:p>
            <w:r>
              <w:rPr>
                <w:sz w:val="18"/>
              </w:rPr>
              <w:t>H1 — julgamento técnico</w:t>
            </w:r>
          </w:p>
        </w:tc>
        <w:tc>
          <w:tcPr>
            <w:tcW w:type="dxa" w:w="2880"/>
          </w:tcPr>
          <w:p>
            <w:r>
              <w:rPr>
                <w:sz w:val="18"/>
              </w:rPr>
              <w:t>NÃO ACATADO, e vale dizer por quê. O auditor supôs que o reaterro da vala estivesse dentro da massa; não está — a âncora das galerias é o volume de ESTRUTURA (13,5 km × 2,4–4,0 m³/m), concreto e lastro. Nessa massa, com a câmara de areia industrial que a planta tem, 85% é atingível. Fica registrado como ressalva: se o miúdo do concreto for areia natural, o teto cai a ~65%</w:t>
            </w:r>
          </w:p>
        </w:tc>
      </w:tr>
      <w:tr>
        <w:tc>
          <w:tcPr>
            <w:tcW w:type="dxa" w:w="2880"/>
          </w:tcPr>
          <w:p>
            <w:r>
              <w:rPr>
                <w:sz w:val="18"/>
              </w:rPr>
              <w:t>Prazo da Bacia 1: 1.620 dias arredondados a 4,4 anos</w:t>
            </w:r>
          </w:p>
        </w:tc>
        <w:tc>
          <w:tcPr>
            <w:tcW w:type="dxa" w:w="2880"/>
          </w:tcPr>
          <w:p>
            <w:r>
              <w:rPr>
                <w:sz w:val="18"/>
              </w:rPr>
              <w:t>RESSALVA</w:t>
            </w:r>
          </w:p>
        </w:tc>
        <w:tc>
          <w:tcPr>
            <w:tcW w:type="dxa" w:w="2880"/>
          </w:tcPr>
          <w:p>
            <w:r>
              <w:rPr>
                <w:sz w:val="18"/>
              </w:rPr>
              <w:t>ACATADO. No valor exato (4,4353 anos) o horizonte de duas frentes é 21,58 e não 21,41 — o pacote passa a publicar 22 anos, e não 21</w:t>
            </w:r>
          </w:p>
        </w:tc>
      </w:tr>
      <w:tr>
        <w:tc>
          <w:tcPr>
            <w:tcW w:type="dxa" w:w="2880"/>
          </w:tcPr>
          <w:p>
            <w:r>
              <w:rPr>
                <w:sz w:val="18"/>
              </w:rPr>
              <w:t>“446 a 561 mil t” não dizia que é britagem de PISTA</w:t>
            </w:r>
          </w:p>
        </w:tc>
        <w:tc>
          <w:tcPr>
            <w:tcW w:type="dxa" w:w="2880"/>
          </w:tcPr>
          <w:p>
            <w:r>
              <w:rPr>
                <w:sz w:val="18"/>
              </w:rPr>
              <w:t>RESSALVA</w:t>
            </w:r>
          </w:p>
        </w:tc>
        <w:tc>
          <w:tcPr>
            <w:tcW w:type="dxa" w:w="2880"/>
          </w:tcPr>
          <w:p>
            <w:r>
              <w:rPr>
                <w:sz w:val="18"/>
              </w:rPr>
              <w:t>ACATADO. A frase passa a dizer. O número está certo; faltava o escopo</w:t>
            </w:r>
          </w:p>
        </w:tc>
      </w:tr>
      <w:tr>
        <w:tc>
          <w:tcPr>
            <w:tcW w:type="dxa" w:w="2880"/>
          </w:tcPr>
          <w:p>
            <w:r>
              <w:rPr>
                <w:sz w:val="18"/>
              </w:rPr>
              <w:t>Abstenção de Guriri × os 250 mil m² já contratados das Bacias</w:t>
            </w:r>
          </w:p>
        </w:tc>
        <w:tc>
          <w:tcPr>
            <w:tcW w:type="dxa" w:w="2880"/>
          </w:tcPr>
          <w:p>
            <w:r>
              <w:rPr>
                <w:sz w:val="18"/>
              </w:rPr>
              <w:t>RESSALVA</w:t>
            </w:r>
          </w:p>
        </w:tc>
        <w:tc>
          <w:tcPr>
            <w:tcW w:type="dxa" w:w="2880"/>
          </w:tcPr>
          <w:p>
            <w:r>
              <w:rPr>
                <w:sz w:val="18"/>
              </w:rPr>
              <w:t>ACATADO. A abstenção vale para o resíduo SEM contrato; os m² contratados entram na cascata sob o rótulo “obras públicas”, uma única vez. Está dito no §3.5</w:t>
            </w:r>
          </w:p>
        </w:tc>
      </w:tr>
      <w:tr>
        <w:tc>
          <w:tcPr>
            <w:tcW w:type="dxa" w:w="2880"/>
          </w:tcPr>
          <w:p>
            <w:r>
              <w:rPr>
                <w:sz w:val="18"/>
              </w:rPr>
              <w:t>54 dos 496 pontos caem em linhas denominadas “(sem nome)”</w:t>
            </w:r>
          </w:p>
        </w:tc>
        <w:tc>
          <w:tcPr>
            <w:tcW w:type="dxa" w:w="2880"/>
          </w:tcPr>
          <w:p>
            <w:r>
              <w:rPr>
                <w:sz w:val="18"/>
              </w:rPr>
              <w:t>RESSALVA</w:t>
            </w:r>
          </w:p>
        </w:tc>
        <w:tc>
          <w:tcPr>
            <w:tcW w:type="dxa" w:w="2880"/>
          </w:tcPr>
          <w:p>
            <w:r>
              <w:rPr>
                <w:sz w:val="18"/>
              </w:rPr>
              <w:t>ACATADO. Declarado na tabela do §3.1</w:t>
            </w:r>
          </w:p>
        </w:tc>
      </w:tr>
      <w:tr>
        <w:tc>
          <w:tcPr>
            <w:tcW w:type="dxa" w:w="2880"/>
          </w:tcPr>
          <w:p>
            <w:r>
              <w:rPr>
                <w:sz w:val="18"/>
              </w:rPr>
              <w:t>Cobertura amostral: 31,1% das vias sem ponto próprio, 38,6% da área</w:t>
            </w:r>
          </w:p>
        </w:tc>
        <w:tc>
          <w:tcPr>
            <w:tcW w:type="dxa" w:w="2880"/>
          </w:tcPr>
          <w:p>
            <w:r>
              <w:rPr>
                <w:sz w:val="18"/>
              </w:rPr>
              <w:t>achado próprio</w:t>
            </w:r>
          </w:p>
        </w:tc>
        <w:tc>
          <w:tcPr>
            <w:tcW w:type="dxa" w:w="2880"/>
          </w:tcPr>
          <w:p>
            <w:r>
              <w:rPr>
                <w:sz w:val="18"/>
              </w:rPr>
              <w:t>ACATADO e PUBLICADO no §3.4. É o achado mais valioso desta auditoria sobre o inventário — a maior incerteza da planilha, e nenhuma versão anterior a declarava</w:t>
            </w:r>
          </w:p>
        </w:tc>
      </w:tr>
      <w:tr>
        <w:tc>
          <w:tcPr>
            <w:tcW w:type="dxa" w:w="2880"/>
          </w:tcPr>
          <w:p>
            <w:r>
              <w:rPr>
                <w:sz w:val="18"/>
              </w:rPr>
              <w:t>A nota A31 da planilha-fonte contradiz os próprios dados</w:t>
            </w:r>
          </w:p>
        </w:tc>
        <w:tc>
          <w:tcPr>
            <w:tcW w:type="dxa" w:w="2880"/>
          </w:tcPr>
          <w:p>
            <w:r>
              <w:rPr>
                <w:sz w:val="18"/>
              </w:rPr>
              <w:t>achado próprio</w:t>
            </w:r>
          </w:p>
        </w:tc>
        <w:tc>
          <w:tcPr>
            <w:tcW w:type="dxa" w:w="2880"/>
          </w:tcPr>
          <w:p>
            <w:r>
              <w:rPr>
                <w:sz w:val="18"/>
              </w:rPr>
              <w:t>REGISTRADO no §3.3. A nota é resíduo de versão anterior; nenhuma conta a usa</w:t>
            </w:r>
          </w:p>
        </w:tc>
      </w:tr>
      <w:tr>
        <w:tc>
          <w:tcPr>
            <w:tcW w:type="dxa" w:w="2880"/>
          </w:tcPr>
          <w:p>
            <w:r>
              <w:rPr>
                <w:sz w:val="18"/>
              </w:rPr>
              <w:t>Itens de massa não contados que consomem britagem</w:t>
            </w:r>
          </w:p>
        </w:tc>
        <w:tc>
          <w:tcPr>
            <w:tcW w:type="dxa" w:w="2880"/>
          </w:tcPr>
          <w:p>
            <w:r>
              <w:rPr>
                <w:sz w:val="18"/>
              </w:rPr>
              <w:t>H3 — julgamento técnico</w:t>
            </w:r>
          </w:p>
        </w:tc>
        <w:tc>
          <w:tcPr>
            <w:tcW w:type="dxa" w:w="2880"/>
          </w:tcPr>
          <w:p>
            <w:r>
              <w:rPr>
                <w:sz w:val="18"/>
              </w:rPr>
              <w:t>REGISTRADO. Drenagem superficial e OAC, barreiras, acostamentos e interseções, troca de solo mole por rachão na planície de Guriri, rip-rap, caminhos de serviço. A assimetria é favorável: o que ficou de fora é intensivo em britagem, de modo que a reconstrução é conservadora em VOLUME</w:t>
            </w:r>
          </w:p>
        </w:tc>
      </w:tr>
    </w:tbl>
    <w:p>
      <w:pPr>
        <w:spacing w:after="120"/>
      </w:pPr>
      <w:r>
        <w:rPr>
          <w:b w:val="0"/>
          <w:i/>
          <w:color w:val="595959"/>
          <w:sz w:val="18"/>
        </w:rPr>
        <w:t>Uma ressalva do auditor merece destaque porque age em sentido contrário ao nosso interesse e mesmo assim foi acatada: a de que a palavra “conservadora”, aplicada à faixa publicada de 700–950 mil t, só descreve o piso — no teto a faixa é praticamente idêntica à reconstrução. A frase foi reescrita para dizer exatamente isso.</w:t>
      </w:r>
    </w:p>
    <w:p>
      <w:pPr>
        <w:spacing w:after="120"/>
      </w:pPr>
      <w:r>
        <w:rPr>
          <w:b w:val="0"/>
          <w:i/>
          <w:color w:val="595959"/>
          <w:sz w:val="18"/>
        </w:rPr>
        <w:t>Teste de estresse aplicado pelo próprio auditor, e registrado aqui porque é o pior caso razoável: mesmo com tonelagem 25% menor E planta sem areia industrial, chega-se a cerca de 395 mil t — ainda 1,34× o PISO da faixa antiga. Não há combinação plausível de premissas em que 294–399 mil t seja a resposta certa. A correção foi acatada integralmente e propagada a todas as camadas do pacote; o efeito em cascata está declarado na nota de conservadorismo do §3 e no item 8 do Estudo de Mercado. Registre-se o sentido da correção: ela AUMENTA o mercado e não a receita — nenhuma projeção de venda foi tocada.</w:t>
      </w:r>
    </w:p>
    <w:p>
      <w:pPr>
        <w:sectPr>
          <w:pgSz w:w="12240" w:h="15840"/>
          <w:pgMar w:top="1440" w:right="1800" w:bottom="1440" w:left="1800" w:header="720" w:footer="720" w:gutter="0"/>
          <w:cols w:space="720"/>
          <w:docGrid w:linePitch="360"/>
        </w:sectPr>
      </w:pPr>
    </w:p>
    <w:p>
      <w:pPr>
        <w:spacing w:after="120" w:before="200"/>
      </w:pPr>
      <w:r>
        <w:rPr>
          <w:b/>
          <w:i w:val="0"/>
          <w:sz w:val="26"/>
        </w:rPr>
        <w:t>Anexo A-3 — inventário por loteamento: identificação dominial e malha viária</w:t>
      </w:r>
    </w:p>
    <w:p>
      <w:pPr>
        <w:spacing w:after="120"/>
      </w:pPr>
      <w:r>
        <w:rPr>
          <w:b w:val="0"/>
          <w:i w:val="0"/>
          <w:sz w:val="19"/>
        </w:rPr>
        <w:t>Fonte única: Levantamento_Pavimentacao_Guriri_v2.xlsx (reconciliada, 19/08/2026) — 21 loteamentos, 437 vias e 637 pontos auditados, listados um a um com coordenada e data (517 no Google Street View, 120 em satélite). As 21 linhas abaixo somam, coluna a coluna, exatamente os totais do §3 — a conferência é feita pelo gerador deste documento, que lê a planilha diretamente. É o anexo que permite auditar o inventário loteamento a loteamento, e serve também de base para priorização comercial: a última coluna diz onde está o volume.</w:t>
      </w:r>
    </w:p>
    <w:p>
      <w:pPr>
        <w:spacing w:after="120" w:before="160"/>
      </w:pPr>
      <w:r>
        <w:rPr>
          <w:b/>
          <w:i w:val="0"/>
          <w:sz w:val="22"/>
        </w:rPr>
        <w:t>A-3.1 Identificação dominial</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t>Nº</w:t>
            </w:r>
          </w:p>
        </w:tc>
        <w:tc>
          <w:tcPr>
            <w:tcW w:type="dxa" w:w="2822"/>
          </w:tcPr>
          <w:p>
            <w:r>
              <w:rPr>
                <w:b/>
                <w:sz w:val="18"/>
              </w:rPr>
              <w:t>Loteamento</w:t>
            </w:r>
          </w:p>
        </w:tc>
        <w:tc>
          <w:tcPr>
            <w:tcW w:type="dxa" w:w="2822"/>
          </w:tcPr>
          <w:p>
            <w:r>
              <w:rPr>
                <w:b/>
                <w:sz w:val="18"/>
              </w:rPr>
              <w:t>Proprietário / empreendedor</w:t>
            </w:r>
          </w:p>
        </w:tc>
        <w:tc>
          <w:tcPr>
            <w:tcW w:type="dxa" w:w="2822"/>
          </w:tcPr>
          <w:p>
            <w:r>
              <w:rPr>
                <w:b/>
                <w:sz w:val="18"/>
              </w:rPr>
              <w:t>Matrícula (data de registro)</w:t>
            </w:r>
          </w:p>
        </w:tc>
        <w:tc>
          <w:tcPr>
            <w:tcW w:type="dxa" w:w="2822"/>
          </w:tcPr>
          <w:p>
            <w:r>
              <w:rPr>
                <w:b/>
                <w:sz w:val="18"/>
              </w:rPr>
              <w:t>Área oficial (ha)</w:t>
            </w:r>
          </w:p>
        </w:tc>
      </w:tr>
      <w:tr>
        <w:tc>
          <w:tcPr>
            <w:tcW w:type="dxa" w:w="2822"/>
          </w:tcPr>
          <w:p>
            <w:r>
              <w:rPr>
                <w:sz w:val="18"/>
              </w:rPr>
              <w:t>7</w:t>
            </w:r>
          </w:p>
        </w:tc>
        <w:tc>
          <w:tcPr>
            <w:tcW w:type="dxa" w:w="2822"/>
          </w:tcPr>
          <w:p>
            <w:r>
              <w:rPr>
                <w:sz w:val="18"/>
              </w:rPr>
              <w:t>Balneário de Guriri</w:t>
            </w:r>
          </w:p>
        </w:tc>
        <w:tc>
          <w:tcPr>
            <w:tcW w:type="dxa" w:w="2822"/>
          </w:tcPr>
          <w:p>
            <w:r>
              <w:rPr>
                <w:sz w:val="18"/>
              </w:rPr>
              <w:t>Município de São Mateus</w:t>
            </w:r>
          </w:p>
        </w:tc>
        <w:tc>
          <w:tcPr>
            <w:tcW w:type="dxa" w:w="2822"/>
          </w:tcPr>
          <w:p>
            <w:r>
              <w:rPr>
                <w:sz w:val="18"/>
              </w:rPr>
              <w:t>7.798/3-J (22/02/1979)</w:t>
            </w:r>
          </w:p>
        </w:tc>
        <w:tc>
          <w:tcPr>
            <w:tcW w:type="dxa" w:w="2822"/>
          </w:tcPr>
          <w:p>
            <w:r>
              <w:rPr>
                <w:sz w:val="18"/>
              </w:rPr>
              <w:t>57,85</w:t>
            </w:r>
          </w:p>
        </w:tc>
      </w:tr>
      <w:tr>
        <w:tc>
          <w:tcPr>
            <w:tcW w:type="dxa" w:w="2822"/>
          </w:tcPr>
          <w:p>
            <w:r>
              <w:rPr>
                <w:sz w:val="18"/>
              </w:rPr>
              <w:t>9</w:t>
            </w:r>
          </w:p>
        </w:tc>
        <w:tc>
          <w:tcPr>
            <w:tcW w:type="dxa" w:w="2822"/>
          </w:tcPr>
          <w:p>
            <w:r>
              <w:rPr>
                <w:sz w:val="18"/>
              </w:rPr>
              <w:t>Bosque da Praia</w:t>
            </w:r>
          </w:p>
        </w:tc>
        <w:tc>
          <w:tcPr>
            <w:tcW w:type="dxa" w:w="2822"/>
          </w:tcPr>
          <w:p>
            <w:r>
              <w:rPr>
                <w:sz w:val="18"/>
              </w:rPr>
              <w:t>TEGIL Territorial Guriri Ltda</w:t>
            </w:r>
          </w:p>
        </w:tc>
        <w:tc>
          <w:tcPr>
            <w:tcW w:type="dxa" w:w="2822"/>
          </w:tcPr>
          <w:p>
            <w:r>
              <w:rPr>
                <w:sz w:val="18"/>
              </w:rPr>
              <w:t>2.315 (14/12/1979)</w:t>
            </w:r>
          </w:p>
        </w:tc>
        <w:tc>
          <w:tcPr>
            <w:tcW w:type="dxa" w:w="2822"/>
          </w:tcPr>
          <w:p>
            <w:r>
              <w:rPr>
                <w:sz w:val="18"/>
              </w:rPr>
              <w:t>172,86</w:t>
            </w:r>
          </w:p>
        </w:tc>
      </w:tr>
      <w:tr>
        <w:tc>
          <w:tcPr>
            <w:tcW w:type="dxa" w:w="2822"/>
          </w:tcPr>
          <w:p>
            <w:r>
              <w:rPr>
                <w:sz w:val="18"/>
              </w:rPr>
              <w:t>10</w:t>
            </w:r>
          </w:p>
        </w:tc>
        <w:tc>
          <w:tcPr>
            <w:tcW w:type="dxa" w:w="2822"/>
          </w:tcPr>
          <w:p>
            <w:r>
              <w:rPr>
                <w:sz w:val="18"/>
              </w:rPr>
              <w:t>Parque dos Albatrozes</w:t>
            </w:r>
          </w:p>
        </w:tc>
        <w:tc>
          <w:tcPr>
            <w:tcW w:type="dxa" w:w="2822"/>
          </w:tcPr>
          <w:p>
            <w:r>
              <w:rPr>
                <w:sz w:val="18"/>
              </w:rPr>
              <w:t>BINOTTE Emp. Imobiliários</w:t>
            </w:r>
          </w:p>
        </w:tc>
        <w:tc>
          <w:tcPr>
            <w:tcW w:type="dxa" w:w="2822"/>
          </w:tcPr>
          <w:p>
            <w:r>
              <w:rPr>
                <w:sz w:val="18"/>
              </w:rPr>
              <w:t>2.383 (18/06/1980)</w:t>
            </w:r>
          </w:p>
        </w:tc>
        <w:tc>
          <w:tcPr>
            <w:tcW w:type="dxa" w:w="2822"/>
          </w:tcPr>
          <w:p>
            <w:r>
              <w:rPr>
                <w:sz w:val="18"/>
              </w:rPr>
              <w:t>75,72</w:t>
            </w:r>
          </w:p>
        </w:tc>
      </w:tr>
      <w:tr>
        <w:tc>
          <w:tcPr>
            <w:tcW w:type="dxa" w:w="2822"/>
          </w:tcPr>
          <w:p>
            <w:r>
              <w:rPr>
                <w:sz w:val="18"/>
              </w:rPr>
              <w:t>13</w:t>
            </w:r>
          </w:p>
        </w:tc>
        <w:tc>
          <w:tcPr>
            <w:tcW w:type="dxa" w:w="2822"/>
          </w:tcPr>
          <w:p>
            <w:r>
              <w:rPr>
                <w:sz w:val="18"/>
              </w:rPr>
              <w:t>Praia de Guriri</w:t>
            </w:r>
          </w:p>
        </w:tc>
        <w:tc>
          <w:tcPr>
            <w:tcW w:type="dxa" w:w="2822"/>
          </w:tcPr>
          <w:p>
            <w:r>
              <w:rPr>
                <w:sz w:val="18"/>
              </w:rPr>
              <w:t>Dalla Bernardina Imob.</w:t>
            </w:r>
          </w:p>
        </w:tc>
        <w:tc>
          <w:tcPr>
            <w:tcW w:type="dxa" w:w="2822"/>
          </w:tcPr>
          <w:p>
            <w:r>
              <w:rPr>
                <w:sz w:val="18"/>
              </w:rPr>
              <w:t>2.025 (06/07/1983)</w:t>
            </w:r>
          </w:p>
        </w:tc>
        <w:tc>
          <w:tcPr>
            <w:tcW w:type="dxa" w:w="2822"/>
          </w:tcPr>
          <w:p>
            <w:r>
              <w:rPr>
                <w:sz w:val="18"/>
              </w:rPr>
              <w:t>62,52</w:t>
            </w:r>
          </w:p>
        </w:tc>
      </w:tr>
      <w:tr>
        <w:tc>
          <w:tcPr>
            <w:tcW w:type="dxa" w:w="2822"/>
          </w:tcPr>
          <w:p>
            <w:r>
              <w:rPr>
                <w:sz w:val="18"/>
              </w:rPr>
              <w:t>14</w:t>
            </w:r>
          </w:p>
        </w:tc>
        <w:tc>
          <w:tcPr>
            <w:tcW w:type="dxa" w:w="2822"/>
          </w:tcPr>
          <w:p>
            <w:r>
              <w:rPr>
                <w:sz w:val="18"/>
              </w:rPr>
              <w:t>Jardim das Caiçaras</w:t>
            </w:r>
          </w:p>
        </w:tc>
        <w:tc>
          <w:tcPr>
            <w:tcW w:type="dxa" w:w="2822"/>
          </w:tcPr>
          <w:p>
            <w:r>
              <w:rPr>
                <w:sz w:val="18"/>
              </w:rPr>
              <w:t>Caiçaras Emp. Imobiliários</w:t>
            </w:r>
          </w:p>
        </w:tc>
        <w:tc>
          <w:tcPr>
            <w:tcW w:type="dxa" w:w="2822"/>
          </w:tcPr>
          <w:p>
            <w:r>
              <w:rPr>
                <w:sz w:val="18"/>
              </w:rPr>
              <w:t>4.170 (05/05/1986)</w:t>
            </w:r>
          </w:p>
        </w:tc>
        <w:tc>
          <w:tcPr>
            <w:tcW w:type="dxa" w:w="2822"/>
          </w:tcPr>
          <w:p>
            <w:r>
              <w:rPr>
                <w:sz w:val="18"/>
              </w:rPr>
              <w:t>114,15</w:t>
            </w:r>
          </w:p>
        </w:tc>
      </w:tr>
      <w:tr>
        <w:tc>
          <w:tcPr>
            <w:tcW w:type="dxa" w:w="2822"/>
          </w:tcPr>
          <w:p>
            <w:r>
              <w:rPr>
                <w:sz w:val="18"/>
              </w:rPr>
              <w:t>15</w:t>
            </w:r>
          </w:p>
        </w:tc>
        <w:tc>
          <w:tcPr>
            <w:tcW w:type="dxa" w:w="2822"/>
          </w:tcPr>
          <w:p>
            <w:r>
              <w:rPr>
                <w:sz w:val="18"/>
              </w:rPr>
              <w:t>Morada do Sol</w:t>
            </w:r>
          </w:p>
        </w:tc>
        <w:tc>
          <w:tcPr>
            <w:tcW w:type="dxa" w:w="2822"/>
          </w:tcPr>
          <w:p>
            <w:r>
              <w:rPr>
                <w:sz w:val="18"/>
              </w:rPr>
              <w:t>Guriri Beach Turismo</w:t>
            </w:r>
          </w:p>
        </w:tc>
        <w:tc>
          <w:tcPr>
            <w:tcW w:type="dxa" w:w="2822"/>
          </w:tcPr>
          <w:p>
            <w:r>
              <w:rPr>
                <w:sz w:val="18"/>
              </w:rPr>
              <w:t>7.640 (09/10/1986)</w:t>
            </w:r>
          </w:p>
        </w:tc>
        <w:tc>
          <w:tcPr>
            <w:tcW w:type="dxa" w:w="2822"/>
          </w:tcPr>
          <w:p>
            <w:r>
              <w:rPr>
                <w:sz w:val="18"/>
              </w:rPr>
              <w:t>12,22</w:t>
            </w:r>
          </w:p>
        </w:tc>
      </w:tr>
      <w:tr>
        <w:tc>
          <w:tcPr>
            <w:tcW w:type="dxa" w:w="2822"/>
          </w:tcPr>
          <w:p>
            <w:r>
              <w:rPr>
                <w:sz w:val="18"/>
              </w:rPr>
              <w:t>25</w:t>
            </w:r>
          </w:p>
        </w:tc>
        <w:tc>
          <w:tcPr>
            <w:tcW w:type="dxa" w:w="2822"/>
          </w:tcPr>
          <w:p>
            <w:r>
              <w:rPr>
                <w:sz w:val="18"/>
              </w:rPr>
              <w:t>Parque Residencial Oitizeiro</w:t>
            </w:r>
          </w:p>
        </w:tc>
        <w:tc>
          <w:tcPr>
            <w:tcW w:type="dxa" w:w="2822"/>
          </w:tcPr>
          <w:p>
            <w:r>
              <w:rPr>
                <w:sz w:val="18"/>
              </w:rPr>
              <w:t>Alba Figueiredo Brasileiro</w:t>
            </w:r>
          </w:p>
        </w:tc>
        <w:tc>
          <w:tcPr>
            <w:tcW w:type="dxa" w:w="2822"/>
          </w:tcPr>
          <w:p>
            <w:r>
              <w:rPr>
                <w:sz w:val="18"/>
              </w:rPr>
              <w:t>14.380 (02/06/2000)</w:t>
            </w:r>
          </w:p>
        </w:tc>
        <w:tc>
          <w:tcPr>
            <w:tcW w:type="dxa" w:w="2822"/>
          </w:tcPr>
          <w:p>
            <w:r>
              <w:rPr>
                <w:sz w:val="18"/>
              </w:rPr>
              <w:t>55,78</w:t>
            </w:r>
          </w:p>
        </w:tc>
      </w:tr>
      <w:tr>
        <w:tc>
          <w:tcPr>
            <w:tcW w:type="dxa" w:w="2822"/>
          </w:tcPr>
          <w:p>
            <w:r>
              <w:rPr>
                <w:sz w:val="18"/>
              </w:rPr>
              <w:t>27</w:t>
            </w:r>
          </w:p>
        </w:tc>
        <w:tc>
          <w:tcPr>
            <w:tcW w:type="dxa" w:w="2822"/>
          </w:tcPr>
          <w:p>
            <w:r>
              <w:rPr>
                <w:sz w:val="18"/>
              </w:rPr>
              <w:t>Residencial Mar Aberto</w:t>
            </w:r>
          </w:p>
        </w:tc>
        <w:tc>
          <w:tcPr>
            <w:tcW w:type="dxa" w:w="2822"/>
          </w:tcPr>
          <w:p>
            <w:r>
              <w:rPr>
                <w:sz w:val="18"/>
              </w:rPr>
              <w:t>Mirante Emp. Imobiliários</w:t>
            </w:r>
          </w:p>
        </w:tc>
        <w:tc>
          <w:tcPr>
            <w:tcW w:type="dxa" w:w="2822"/>
          </w:tcPr>
          <w:p>
            <w:r>
              <w:rPr>
                <w:sz w:val="18"/>
              </w:rPr>
              <w:t>9.853 (25/08/2000)</w:t>
            </w:r>
          </w:p>
        </w:tc>
        <w:tc>
          <w:tcPr>
            <w:tcW w:type="dxa" w:w="2822"/>
          </w:tcPr>
          <w:p>
            <w:r>
              <w:rPr>
                <w:sz w:val="18"/>
              </w:rPr>
              <w:t>38,72</w:t>
            </w:r>
          </w:p>
        </w:tc>
      </w:tr>
      <w:tr>
        <w:tc>
          <w:tcPr>
            <w:tcW w:type="dxa" w:w="2822"/>
          </w:tcPr>
          <w:p>
            <w:r>
              <w:rPr>
                <w:sz w:val="18"/>
              </w:rPr>
              <w:t>31</w:t>
            </w:r>
          </w:p>
        </w:tc>
        <w:tc>
          <w:tcPr>
            <w:tcW w:type="dxa" w:w="2822"/>
          </w:tcPr>
          <w:p>
            <w:r>
              <w:rPr>
                <w:sz w:val="18"/>
              </w:rPr>
              <w:t>Melhorini Residencial Parque</w:t>
            </w:r>
          </w:p>
        </w:tc>
        <w:tc>
          <w:tcPr>
            <w:tcW w:type="dxa" w:w="2822"/>
          </w:tcPr>
          <w:p>
            <w:r>
              <w:rPr>
                <w:sz w:val="18"/>
              </w:rPr>
              <w:t>Domingos Melhorini</w:t>
            </w:r>
          </w:p>
        </w:tc>
        <w:tc>
          <w:tcPr>
            <w:tcW w:type="dxa" w:w="2822"/>
          </w:tcPr>
          <w:p>
            <w:r>
              <w:rPr>
                <w:sz w:val="18"/>
              </w:rPr>
              <w:t>9.300 (26/11/2001)</w:t>
            </w:r>
          </w:p>
        </w:tc>
        <w:tc>
          <w:tcPr>
            <w:tcW w:type="dxa" w:w="2822"/>
          </w:tcPr>
          <w:p>
            <w:r>
              <w:rPr>
                <w:sz w:val="18"/>
              </w:rPr>
              <w:t>7,02</w:t>
            </w:r>
          </w:p>
        </w:tc>
      </w:tr>
      <w:tr>
        <w:tc>
          <w:tcPr>
            <w:tcW w:type="dxa" w:w="2822"/>
          </w:tcPr>
          <w:p>
            <w:r>
              <w:rPr>
                <w:sz w:val="18"/>
              </w:rPr>
              <w:t>35</w:t>
            </w:r>
          </w:p>
        </w:tc>
        <w:tc>
          <w:tcPr>
            <w:tcW w:type="dxa" w:w="2822"/>
          </w:tcPr>
          <w:p>
            <w:r>
              <w:rPr>
                <w:sz w:val="18"/>
              </w:rPr>
              <w:t>Verão Vermelho</w:t>
            </w:r>
          </w:p>
        </w:tc>
        <w:tc>
          <w:tcPr>
            <w:tcW w:type="dxa" w:w="2822"/>
          </w:tcPr>
          <w:p>
            <w:r>
              <w:rPr>
                <w:sz w:val="18"/>
              </w:rPr>
              <w:t>Neri Mariani</w:t>
            </w:r>
          </w:p>
        </w:tc>
        <w:tc>
          <w:tcPr>
            <w:tcW w:type="dxa" w:w="2822"/>
          </w:tcPr>
          <w:p>
            <w:r>
              <w:rPr>
                <w:sz w:val="18"/>
              </w:rPr>
              <w:t>16.265 (24/10/2003)</w:t>
            </w:r>
          </w:p>
        </w:tc>
        <w:tc>
          <w:tcPr>
            <w:tcW w:type="dxa" w:w="2822"/>
          </w:tcPr>
          <w:p>
            <w:r>
              <w:rPr>
                <w:sz w:val="18"/>
              </w:rPr>
              <w:t>40,21</w:t>
            </w:r>
          </w:p>
        </w:tc>
      </w:tr>
      <w:tr>
        <w:tc>
          <w:tcPr>
            <w:tcW w:type="dxa" w:w="2822"/>
          </w:tcPr>
          <w:p>
            <w:r>
              <w:rPr>
                <w:sz w:val="18"/>
              </w:rPr>
              <w:t>36</w:t>
            </w:r>
          </w:p>
        </w:tc>
        <w:tc>
          <w:tcPr>
            <w:tcW w:type="dxa" w:w="2822"/>
          </w:tcPr>
          <w:p>
            <w:r>
              <w:rPr>
                <w:sz w:val="18"/>
              </w:rPr>
              <w:t>Residencial Ilha de Guriri I</w:t>
            </w:r>
          </w:p>
        </w:tc>
        <w:tc>
          <w:tcPr>
            <w:tcW w:type="dxa" w:w="2822"/>
          </w:tcPr>
          <w:p>
            <w:r>
              <w:rPr>
                <w:sz w:val="18"/>
              </w:rPr>
              <w:t>Airton Ruberth</w:t>
            </w:r>
          </w:p>
        </w:tc>
        <w:tc>
          <w:tcPr>
            <w:tcW w:type="dxa" w:w="2822"/>
          </w:tcPr>
          <w:p>
            <w:r>
              <w:rPr>
                <w:sz w:val="18"/>
              </w:rPr>
              <w:t>15.191 (12/11/2003)</w:t>
            </w:r>
          </w:p>
        </w:tc>
        <w:tc>
          <w:tcPr>
            <w:tcW w:type="dxa" w:w="2822"/>
          </w:tcPr>
          <w:p>
            <w:r>
              <w:rPr>
                <w:sz w:val="18"/>
              </w:rPr>
              <w:t>7,76</w:t>
            </w:r>
          </w:p>
        </w:tc>
      </w:tr>
      <w:tr>
        <w:tc>
          <w:tcPr>
            <w:tcW w:type="dxa" w:w="2822"/>
          </w:tcPr>
          <w:p>
            <w:r>
              <w:rPr>
                <w:sz w:val="18"/>
              </w:rPr>
              <w:t>39</w:t>
            </w:r>
          </w:p>
        </w:tc>
        <w:tc>
          <w:tcPr>
            <w:tcW w:type="dxa" w:w="2822"/>
          </w:tcPr>
          <w:p>
            <w:r>
              <w:rPr>
                <w:sz w:val="18"/>
              </w:rPr>
              <w:t>Central</w:t>
            </w:r>
          </w:p>
        </w:tc>
        <w:tc>
          <w:tcPr>
            <w:tcW w:type="dxa" w:w="2822"/>
          </w:tcPr>
          <w:p>
            <w:r>
              <w:rPr>
                <w:sz w:val="18"/>
              </w:rPr>
              <w:t>Kajuzal Camping</w:t>
            </w:r>
          </w:p>
        </w:tc>
        <w:tc>
          <w:tcPr>
            <w:tcW w:type="dxa" w:w="2822"/>
          </w:tcPr>
          <w:p>
            <w:r>
              <w:rPr>
                <w:sz w:val="18"/>
              </w:rPr>
              <w:t>16.104 (25/11/2003)</w:t>
            </w:r>
          </w:p>
        </w:tc>
        <w:tc>
          <w:tcPr>
            <w:tcW w:type="dxa" w:w="2822"/>
          </w:tcPr>
          <w:p>
            <w:r>
              <w:rPr>
                <w:sz w:val="18"/>
              </w:rPr>
              <w:t>12,44</w:t>
            </w:r>
          </w:p>
        </w:tc>
      </w:tr>
      <w:tr>
        <w:tc>
          <w:tcPr>
            <w:tcW w:type="dxa" w:w="2822"/>
          </w:tcPr>
          <w:p>
            <w:r>
              <w:rPr>
                <w:sz w:val="18"/>
              </w:rPr>
              <w:t>42</w:t>
            </w:r>
          </w:p>
        </w:tc>
        <w:tc>
          <w:tcPr>
            <w:tcW w:type="dxa" w:w="2822"/>
          </w:tcPr>
          <w:p>
            <w:r>
              <w:rPr>
                <w:sz w:val="18"/>
              </w:rPr>
              <w:t>Residencial Bom Jesus</w:t>
            </w:r>
          </w:p>
        </w:tc>
        <w:tc>
          <w:tcPr>
            <w:tcW w:type="dxa" w:w="2822"/>
          </w:tcPr>
          <w:p>
            <w:r>
              <w:rPr>
                <w:sz w:val="18"/>
              </w:rPr>
              <w:t>Kajuzal Camping</w:t>
            </w:r>
          </w:p>
        </w:tc>
        <w:tc>
          <w:tcPr>
            <w:tcW w:type="dxa" w:w="2822"/>
          </w:tcPr>
          <w:p>
            <w:r>
              <w:rPr>
                <w:sz w:val="18"/>
              </w:rPr>
              <w:t>15.989 (23/12/2003)</w:t>
            </w:r>
          </w:p>
        </w:tc>
        <w:tc>
          <w:tcPr>
            <w:tcW w:type="dxa" w:w="2822"/>
          </w:tcPr>
          <w:p>
            <w:r>
              <w:rPr>
                <w:sz w:val="18"/>
              </w:rPr>
              <w:t>108,97</w:t>
            </w:r>
          </w:p>
        </w:tc>
      </w:tr>
      <w:tr>
        <w:tc>
          <w:tcPr>
            <w:tcW w:type="dxa" w:w="2822"/>
          </w:tcPr>
          <w:p>
            <w:r>
              <w:rPr>
                <w:sz w:val="18"/>
              </w:rPr>
              <w:t>47</w:t>
            </w:r>
          </w:p>
        </w:tc>
        <w:tc>
          <w:tcPr>
            <w:tcW w:type="dxa" w:w="2822"/>
          </w:tcPr>
          <w:p>
            <w:r>
              <w:rPr>
                <w:sz w:val="18"/>
              </w:rPr>
              <w:t>Praiano</w:t>
            </w:r>
          </w:p>
        </w:tc>
        <w:tc>
          <w:tcPr>
            <w:tcW w:type="dxa" w:w="2822"/>
          </w:tcPr>
          <w:p>
            <w:r>
              <w:rPr>
                <w:sz w:val="18"/>
              </w:rPr>
              <w:t>Praiano Guriri Clube</w:t>
            </w:r>
          </w:p>
        </w:tc>
        <w:tc>
          <w:tcPr>
            <w:tcW w:type="dxa" w:w="2822"/>
          </w:tcPr>
          <w:p>
            <w:r>
              <w:rPr>
                <w:sz w:val="18"/>
              </w:rPr>
              <w:t>10.725</w:t>
            </w:r>
          </w:p>
        </w:tc>
        <w:tc>
          <w:tcPr>
            <w:tcW w:type="dxa" w:w="2822"/>
          </w:tcPr>
          <w:p>
            <w:r>
              <w:rPr>
                <w:sz w:val="18"/>
              </w:rPr>
              <w:t>9,68</w:t>
            </w:r>
          </w:p>
        </w:tc>
      </w:tr>
      <w:tr>
        <w:tc>
          <w:tcPr>
            <w:tcW w:type="dxa" w:w="2822"/>
          </w:tcPr>
          <w:p>
            <w:r>
              <w:rPr>
                <w:sz w:val="18"/>
              </w:rPr>
              <w:t>49</w:t>
            </w:r>
          </w:p>
        </w:tc>
        <w:tc>
          <w:tcPr>
            <w:tcW w:type="dxa" w:w="2822"/>
          </w:tcPr>
          <w:p>
            <w:r>
              <w:rPr>
                <w:sz w:val="18"/>
              </w:rPr>
              <w:t>Vale do Amazonas</w:t>
            </w:r>
          </w:p>
        </w:tc>
        <w:tc>
          <w:tcPr>
            <w:tcW w:type="dxa" w:w="2822"/>
          </w:tcPr>
          <w:p>
            <w:r>
              <w:rPr>
                <w:sz w:val="18"/>
              </w:rPr>
              <w:t>Igor Vescovi Devens</w:t>
            </w:r>
          </w:p>
        </w:tc>
        <w:tc>
          <w:tcPr>
            <w:tcW w:type="dxa" w:w="2822"/>
          </w:tcPr>
          <w:p>
            <w:r>
              <w:rPr>
                <w:sz w:val="18"/>
              </w:rPr>
              <w:t>15.185</w:t>
            </w:r>
          </w:p>
        </w:tc>
        <w:tc>
          <w:tcPr>
            <w:tcW w:type="dxa" w:w="2822"/>
          </w:tcPr>
          <w:p>
            <w:r>
              <w:rPr>
                <w:sz w:val="18"/>
              </w:rPr>
              <w:t>7,76</w:t>
            </w:r>
          </w:p>
        </w:tc>
      </w:tr>
      <w:tr>
        <w:tc>
          <w:tcPr>
            <w:tcW w:type="dxa" w:w="2822"/>
          </w:tcPr>
          <w:p>
            <w:r>
              <w:rPr>
                <w:sz w:val="18"/>
              </w:rPr>
              <w:t>50</w:t>
            </w:r>
          </w:p>
        </w:tc>
        <w:tc>
          <w:tcPr>
            <w:tcW w:type="dxa" w:w="2822"/>
          </w:tcPr>
          <w:p>
            <w:r>
              <w:rPr>
                <w:sz w:val="18"/>
              </w:rPr>
              <w:t>Flor Pan</w:t>
            </w:r>
          </w:p>
        </w:tc>
        <w:tc>
          <w:tcPr>
            <w:tcW w:type="dxa" w:w="2822"/>
          </w:tcPr>
          <w:p>
            <w:r>
              <w:rPr>
                <w:sz w:val="18"/>
              </w:rPr>
              <w:t>Antonio Costa</w:t>
            </w:r>
          </w:p>
        </w:tc>
        <w:tc>
          <w:tcPr>
            <w:tcW w:type="dxa" w:w="2822"/>
          </w:tcPr>
          <w:p>
            <w:r>
              <w:rPr>
                <w:sz w:val="18"/>
              </w:rPr>
              <w:t>15.189</w:t>
            </w:r>
          </w:p>
        </w:tc>
        <w:tc>
          <w:tcPr>
            <w:tcW w:type="dxa" w:w="2822"/>
          </w:tcPr>
          <w:p>
            <w:r>
              <w:rPr>
                <w:sz w:val="18"/>
              </w:rPr>
              <w:t>7,76</w:t>
            </w:r>
          </w:p>
        </w:tc>
      </w:tr>
      <w:tr>
        <w:tc>
          <w:tcPr>
            <w:tcW w:type="dxa" w:w="2822"/>
          </w:tcPr>
          <w:p>
            <w:r>
              <w:rPr>
                <w:sz w:val="18"/>
              </w:rPr>
              <w:t>60</w:t>
            </w:r>
          </w:p>
        </w:tc>
        <w:tc>
          <w:tcPr>
            <w:tcW w:type="dxa" w:w="2822"/>
          </w:tcPr>
          <w:p>
            <w:r>
              <w:rPr>
                <w:sz w:val="18"/>
              </w:rPr>
              <w:t>Residencial Evidência</w:t>
            </w:r>
          </w:p>
        </w:tc>
        <w:tc>
          <w:tcPr>
            <w:tcW w:type="dxa" w:w="2822"/>
          </w:tcPr>
          <w:p>
            <w:r>
              <w:rPr>
                <w:sz w:val="18"/>
              </w:rPr>
              <w:t>Anildo Moreira Tavares</w:t>
            </w:r>
          </w:p>
        </w:tc>
        <w:tc>
          <w:tcPr>
            <w:tcW w:type="dxa" w:w="2822"/>
          </w:tcPr>
          <w:p>
            <w:r>
              <w:rPr>
                <w:sz w:val="18"/>
              </w:rPr>
              <w:t>9.497</w:t>
            </w:r>
          </w:p>
        </w:tc>
        <w:tc>
          <w:tcPr>
            <w:tcW w:type="dxa" w:w="2822"/>
          </w:tcPr>
          <w:p>
            <w:r>
              <w:rPr>
                <w:sz w:val="18"/>
              </w:rPr>
              <w:t>13,85</w:t>
            </w:r>
          </w:p>
        </w:tc>
      </w:tr>
      <w:tr>
        <w:tc>
          <w:tcPr>
            <w:tcW w:type="dxa" w:w="2822"/>
          </w:tcPr>
          <w:p>
            <w:r>
              <w:rPr>
                <w:sz w:val="18"/>
              </w:rPr>
              <w:t>70</w:t>
            </w:r>
          </w:p>
        </w:tc>
        <w:tc>
          <w:tcPr>
            <w:tcW w:type="dxa" w:w="2822"/>
          </w:tcPr>
          <w:p>
            <w:r>
              <w:rPr>
                <w:sz w:val="18"/>
              </w:rPr>
              <w:t>Pontal de Guriri</w:t>
            </w:r>
          </w:p>
        </w:tc>
        <w:tc>
          <w:tcPr>
            <w:tcW w:type="dxa" w:w="2822"/>
          </w:tcPr>
          <w:p>
            <w:r>
              <w:rPr>
                <w:sz w:val="18"/>
              </w:rPr>
              <w:t>João Bosco Cevolane</w:t>
            </w:r>
          </w:p>
        </w:tc>
        <w:tc>
          <w:tcPr>
            <w:tcW w:type="dxa" w:w="2822"/>
          </w:tcPr>
          <w:p>
            <w:r>
              <w:rPr>
                <w:sz w:val="18"/>
              </w:rPr>
              <w:t>19.747</w:t>
            </w:r>
          </w:p>
        </w:tc>
        <w:tc>
          <w:tcPr>
            <w:tcW w:type="dxa" w:w="2822"/>
          </w:tcPr>
          <w:p>
            <w:r>
              <w:rPr>
                <w:sz w:val="18"/>
              </w:rPr>
              <w:t>24,42</w:t>
            </w:r>
          </w:p>
        </w:tc>
      </w:tr>
      <w:tr>
        <w:tc>
          <w:tcPr>
            <w:tcW w:type="dxa" w:w="2822"/>
          </w:tcPr>
          <w:p>
            <w:r>
              <w:rPr>
                <w:sz w:val="18"/>
              </w:rPr>
              <w:t>78</w:t>
            </w:r>
          </w:p>
        </w:tc>
        <w:tc>
          <w:tcPr>
            <w:tcW w:type="dxa" w:w="2822"/>
          </w:tcPr>
          <w:p>
            <w:r>
              <w:rPr>
                <w:sz w:val="18"/>
              </w:rPr>
              <w:t>João de Barro (COHAJOBA)</w:t>
            </w:r>
          </w:p>
        </w:tc>
        <w:tc>
          <w:tcPr>
            <w:tcW w:type="dxa" w:w="2822"/>
          </w:tcPr>
          <w:p>
            <w:r>
              <w:rPr>
                <w:sz w:val="18"/>
              </w:rPr>
              <w:t>COHAJOBA</w:t>
            </w:r>
          </w:p>
        </w:tc>
        <w:tc>
          <w:tcPr>
            <w:tcW w:type="dxa" w:w="2822"/>
          </w:tcPr>
          <w:p>
            <w:r>
              <w:rPr>
                <w:sz w:val="18"/>
              </w:rPr>
              <w:t>19.792</w:t>
            </w:r>
          </w:p>
        </w:tc>
        <w:tc>
          <w:tcPr>
            <w:tcW w:type="dxa" w:w="2822"/>
          </w:tcPr>
          <w:p>
            <w:r>
              <w:rPr>
                <w:sz w:val="18"/>
              </w:rPr>
              <w:t>5,47</w:t>
            </w:r>
          </w:p>
        </w:tc>
      </w:tr>
      <w:tr>
        <w:tc>
          <w:tcPr>
            <w:tcW w:type="dxa" w:w="2822"/>
          </w:tcPr>
          <w:p>
            <w:r>
              <w:rPr>
                <w:sz w:val="18"/>
              </w:rPr>
              <w:t>80</w:t>
            </w:r>
          </w:p>
        </w:tc>
        <w:tc>
          <w:tcPr>
            <w:tcW w:type="dxa" w:w="2822"/>
          </w:tcPr>
          <w:p>
            <w:r>
              <w:rPr>
                <w:sz w:val="18"/>
              </w:rPr>
              <w:t>Soma Cevolani (Golden Guriri)</w:t>
            </w:r>
          </w:p>
        </w:tc>
        <w:tc>
          <w:tcPr>
            <w:tcW w:type="dxa" w:w="2822"/>
          </w:tcPr>
          <w:p>
            <w:r>
              <w:rPr>
                <w:sz w:val="18"/>
              </w:rPr>
              <w:t>Soma Cevolani SPE</w:t>
            </w:r>
          </w:p>
        </w:tc>
        <w:tc>
          <w:tcPr>
            <w:tcW w:type="dxa" w:w="2822"/>
          </w:tcPr>
          <w:p>
            <w:r>
              <w:rPr>
                <w:sz w:val="18"/>
              </w:rPr>
              <w:t>52.586</w:t>
            </w:r>
          </w:p>
        </w:tc>
        <w:tc>
          <w:tcPr>
            <w:tcW w:type="dxa" w:w="2822"/>
          </w:tcPr>
          <w:p>
            <w:r>
              <w:rPr>
                <w:sz w:val="18"/>
              </w:rPr>
              <w:t>23,47</w:t>
            </w:r>
          </w:p>
        </w:tc>
      </w:tr>
      <w:tr>
        <w:tc>
          <w:tcPr>
            <w:tcW w:type="dxa" w:w="2822"/>
          </w:tcPr>
          <w:p>
            <w:r>
              <w:rPr>
                <w:sz w:val="18"/>
              </w:rPr>
              <w:t>84</w:t>
            </w:r>
          </w:p>
        </w:tc>
        <w:tc>
          <w:tcPr>
            <w:tcW w:type="dxa" w:w="2822"/>
          </w:tcPr>
          <w:p>
            <w:r>
              <w:rPr>
                <w:sz w:val="18"/>
              </w:rPr>
              <w:t>Pontal de Guriri II</w:t>
            </w:r>
          </w:p>
        </w:tc>
        <w:tc>
          <w:tcPr>
            <w:tcW w:type="dxa" w:w="2822"/>
          </w:tcPr>
          <w:p>
            <w:r>
              <w:rPr>
                <w:sz w:val="18"/>
              </w:rPr>
              <w:t>João Bosco Cevolane Ltda</w:t>
            </w:r>
          </w:p>
        </w:tc>
        <w:tc>
          <w:tcPr>
            <w:tcW w:type="dxa" w:w="2822"/>
          </w:tcPr>
          <w:p>
            <w:r>
              <w:rPr>
                <w:sz w:val="18"/>
              </w:rPr>
              <w:t>54.633</w:t>
            </w:r>
          </w:p>
        </w:tc>
        <w:tc>
          <w:tcPr>
            <w:tcW w:type="dxa" w:w="2822"/>
          </w:tcPr>
          <w:p>
            <w:r>
              <w:rPr>
                <w:sz w:val="18"/>
              </w:rPr>
              <w:t>4,44</w:t>
            </w:r>
          </w:p>
        </w:tc>
      </w:tr>
    </w:tbl>
    <w:p>
      <w:pPr>
        <w:spacing w:after="120"/>
      </w:pPr>
      <w:r>
        <w:rPr>
          <w:b w:val="0"/>
          <w:i w:val="0"/>
          <w:color w:val="595959"/>
          <w:sz w:val="17"/>
        </w:rPr>
        <w:t>Nº = número do loteamento na planilha oficial de loteamentos da Prefeitura de São Mateus. Áreas e matrículas conferidas nos quadros de área das plantas. Onde a matrícula aparece sem data, a planilha-fonte não registra a data de registro — a certidão do RGI resolve, e a lacuna está declarada aqui em vez de preenchida por estimativa.</w:t>
      </w:r>
    </w:p>
    <w:p>
      <w:pPr>
        <w:spacing w:after="120" w:before="160"/>
      </w:pPr>
      <w:r>
        <w:rPr>
          <w:b/>
          <w:i w:val="0"/>
          <w:sz w:val="22"/>
        </w:rPr>
        <w:t>A-3.2 Malha viária, situação e potencial de britagem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gridCol w:w="1176"/>
        <w:gridCol w:w="1176"/>
        <w:gridCol w:w="1176"/>
        <w:gridCol w:w="1176"/>
      </w:tblGrid>
      <w:tr>
        <w:tc>
          <w:tcPr>
            <w:tcW w:type="dxa" w:w="1176"/>
          </w:tcPr>
          <w:p>
            <w:r>
              <w:rPr>
                <w:b/>
                <w:sz w:val="18"/>
              </w:rPr>
              <w:t>Nº</w:t>
            </w:r>
          </w:p>
        </w:tc>
        <w:tc>
          <w:tcPr>
            <w:tcW w:type="dxa" w:w="1176"/>
          </w:tcPr>
          <w:p>
            <w:r>
              <w:rPr>
                <w:b/>
                <w:sz w:val="18"/>
              </w:rPr>
              <w:t>Loteamento</w:t>
            </w:r>
          </w:p>
        </w:tc>
        <w:tc>
          <w:tcPr>
            <w:tcW w:type="dxa" w:w="1176"/>
          </w:tcPr>
          <w:p>
            <w:r>
              <w:rPr>
                <w:b/>
                <w:sz w:val="18"/>
              </w:rPr>
              <w:t>Vias</w:t>
            </w:r>
          </w:p>
        </w:tc>
        <w:tc>
          <w:tcPr>
            <w:tcW w:type="dxa" w:w="1176"/>
          </w:tcPr>
          <w:p>
            <w:r>
              <w:rPr>
                <w:b/>
                <w:sz w:val="18"/>
              </w:rPr>
              <w:t>Pontos (nomeadas + malha)</w:t>
            </w:r>
          </w:p>
        </w:tc>
        <w:tc>
          <w:tcPr>
            <w:tcW w:type="dxa" w:w="1176"/>
          </w:tcPr>
          <w:p>
            <w:r>
              <w:rPr>
                <w:b/>
                <w:sz w:val="18"/>
              </w:rPr>
              <w:t>Extensão (m)</w:t>
            </w:r>
          </w:p>
        </w:tc>
        <w:tc>
          <w:tcPr>
            <w:tcW w:type="dxa" w:w="1176"/>
          </w:tcPr>
          <w:p>
            <w:r>
              <w:rPr>
                <w:b/>
                <w:sz w:val="18"/>
              </w:rPr>
              <w:t>Pavimentado (m)</w:t>
            </w:r>
          </w:p>
        </w:tc>
        <w:tc>
          <w:tcPr>
            <w:tcW w:type="dxa" w:w="1176"/>
          </w:tcPr>
          <w:p>
            <w:r>
              <w:rPr>
                <w:b/>
                <w:sz w:val="18"/>
              </w:rPr>
              <w:t>% pav.</w:t>
            </w:r>
          </w:p>
        </w:tc>
        <w:tc>
          <w:tcPr>
            <w:tcW w:type="dxa" w:w="1176"/>
          </w:tcPr>
          <w:p>
            <w:r>
              <w:rPr>
                <w:b/>
                <w:sz w:val="18"/>
              </w:rPr>
              <w:t>Falta pavimentar (m)</w:t>
            </w:r>
          </w:p>
        </w:tc>
        <w:tc>
          <w:tcPr>
            <w:tcW w:type="dxa" w:w="1176"/>
          </w:tcPr>
          <w:p>
            <w:r>
              <w:rPr>
                <w:b/>
                <w:sz w:val="18"/>
              </w:rPr>
              <w:t>Falta (m²)</w:t>
            </w:r>
          </w:p>
        </w:tc>
        <w:tc>
          <w:tcPr>
            <w:tcW w:type="dxa" w:w="1176"/>
          </w:tcPr>
          <w:p>
            <w:r>
              <w:rPr>
                <w:b/>
                <w:sz w:val="18"/>
              </w:rPr>
              <w:t>Só de planta (m)</w:t>
            </w:r>
          </w:p>
        </w:tc>
        <w:tc>
          <w:tcPr>
            <w:tcW w:type="dxa" w:w="1176"/>
          </w:tcPr>
          <w:p>
            <w:r>
              <w:rPr>
                <w:b/>
                <w:sz w:val="18"/>
              </w:rPr>
              <w:t>Largura média (m)</w:t>
            </w:r>
          </w:p>
        </w:tc>
        <w:tc>
          <w:tcPr>
            <w:tcW w:type="dxa" w:w="1176"/>
          </w:tcPr>
          <w:p>
            <w:r>
              <w:rPr>
                <w:b/>
                <w:sz w:val="18"/>
              </w:rPr>
              <w:t>PRODUTOS DE BRITAGEM (mil t)</w:t>
            </w:r>
          </w:p>
        </w:tc>
      </w:tr>
      <w:tr>
        <w:tc>
          <w:tcPr>
            <w:tcW w:type="dxa" w:w="1176"/>
          </w:tcPr>
          <w:p>
            <w:r>
              <w:rPr>
                <w:sz w:val="18"/>
              </w:rPr>
              <w:t>7</w:t>
            </w:r>
          </w:p>
        </w:tc>
        <w:tc>
          <w:tcPr>
            <w:tcW w:type="dxa" w:w="1176"/>
          </w:tcPr>
          <w:p>
            <w:r>
              <w:rPr>
                <w:sz w:val="18"/>
              </w:rPr>
              <w:t>Balneário de Guriri</w:t>
            </w:r>
          </w:p>
        </w:tc>
        <w:tc>
          <w:tcPr>
            <w:tcW w:type="dxa" w:w="1176"/>
          </w:tcPr>
          <w:p>
            <w:r>
              <w:rPr>
                <w:sz w:val="18"/>
              </w:rPr>
              <w:t>20</w:t>
            </w:r>
          </w:p>
        </w:tc>
        <w:tc>
          <w:tcPr>
            <w:tcW w:type="dxa" w:w="1176"/>
          </w:tcPr>
          <w:p>
            <w:r>
              <w:rPr>
                <w:sz w:val="18"/>
              </w:rPr>
              <w:t>54+4</w:t>
            </w:r>
          </w:p>
        </w:tc>
        <w:tc>
          <w:tcPr>
            <w:tcW w:type="dxa" w:w="1176"/>
          </w:tcPr>
          <w:p>
            <w:r>
              <w:rPr>
                <w:sz w:val="18"/>
              </w:rPr>
              <w:t>16.241</w:t>
            </w:r>
          </w:p>
        </w:tc>
        <w:tc>
          <w:tcPr>
            <w:tcW w:type="dxa" w:w="1176"/>
          </w:tcPr>
          <w:p>
            <w:r>
              <w:rPr>
                <w:sz w:val="18"/>
              </w:rPr>
              <w:t>9.731</w:t>
            </w:r>
          </w:p>
        </w:tc>
        <w:tc>
          <w:tcPr>
            <w:tcW w:type="dxa" w:w="1176"/>
          </w:tcPr>
          <w:p>
            <w:r>
              <w:rPr>
                <w:sz w:val="18"/>
              </w:rPr>
              <w:t>59,9%</w:t>
            </w:r>
          </w:p>
        </w:tc>
        <w:tc>
          <w:tcPr>
            <w:tcW w:type="dxa" w:w="1176"/>
          </w:tcPr>
          <w:p>
            <w:r>
              <w:rPr>
                <w:sz w:val="18"/>
              </w:rPr>
              <w:t>6.510</w:t>
            </w:r>
          </w:p>
        </w:tc>
        <w:tc>
          <w:tcPr>
            <w:tcW w:type="dxa" w:w="1176"/>
          </w:tcPr>
          <w:p>
            <w:r>
              <w:rPr>
                <w:sz w:val="18"/>
              </w:rPr>
              <w:t>52.083</w:t>
            </w:r>
          </w:p>
        </w:tc>
        <w:tc>
          <w:tcPr>
            <w:tcW w:type="dxa" w:w="1176"/>
          </w:tcPr>
          <w:p>
            <w:r>
              <w:rPr>
                <w:sz w:val="18"/>
              </w:rPr>
              <w:t>0</w:t>
            </w:r>
          </w:p>
        </w:tc>
        <w:tc>
          <w:tcPr>
            <w:tcW w:type="dxa" w:w="1176"/>
          </w:tcPr>
          <w:p>
            <w:r>
              <w:rPr>
                <w:sz w:val="18"/>
              </w:rPr>
              <w:t>8,0</w:t>
            </w:r>
          </w:p>
        </w:tc>
        <w:tc>
          <w:tcPr>
            <w:tcW w:type="dxa" w:w="1176"/>
          </w:tcPr>
          <w:p>
            <w:r>
              <w:rPr>
                <w:sz w:val="18"/>
              </w:rPr>
              <w:t>32,3–40,9</w:t>
            </w:r>
          </w:p>
        </w:tc>
      </w:tr>
      <w:tr>
        <w:tc>
          <w:tcPr>
            <w:tcW w:type="dxa" w:w="1176"/>
          </w:tcPr>
          <w:p>
            <w:r>
              <w:rPr>
                <w:sz w:val="18"/>
              </w:rPr>
              <w:t>9</w:t>
            </w:r>
          </w:p>
        </w:tc>
        <w:tc>
          <w:tcPr>
            <w:tcW w:type="dxa" w:w="1176"/>
          </w:tcPr>
          <w:p>
            <w:r>
              <w:rPr>
                <w:sz w:val="18"/>
              </w:rPr>
              <w:t>Bosque da Praia</w:t>
            </w:r>
          </w:p>
        </w:tc>
        <w:tc>
          <w:tcPr>
            <w:tcW w:type="dxa" w:w="1176"/>
          </w:tcPr>
          <w:p>
            <w:r>
              <w:rPr>
                <w:sz w:val="18"/>
              </w:rPr>
              <w:t>40</w:t>
            </w:r>
          </w:p>
        </w:tc>
        <w:tc>
          <w:tcPr>
            <w:tcW w:type="dxa" w:w="1176"/>
          </w:tcPr>
          <w:p>
            <w:r>
              <w:rPr>
                <w:sz w:val="18"/>
              </w:rPr>
              <w:t>3+24</w:t>
            </w:r>
          </w:p>
        </w:tc>
        <w:tc>
          <w:tcPr>
            <w:tcW w:type="dxa" w:w="1176"/>
          </w:tcPr>
          <w:p>
            <w:r>
              <w:rPr>
                <w:sz w:val="18"/>
              </w:rPr>
              <w:t>36.392</w:t>
            </w:r>
          </w:p>
        </w:tc>
        <w:tc>
          <w:tcPr>
            <w:tcW w:type="dxa" w:w="1176"/>
          </w:tcPr>
          <w:p>
            <w:r>
              <w:rPr>
                <w:sz w:val="18"/>
              </w:rPr>
              <w:t>0</w:t>
            </w:r>
          </w:p>
        </w:tc>
        <w:tc>
          <w:tcPr>
            <w:tcW w:type="dxa" w:w="1176"/>
          </w:tcPr>
          <w:p>
            <w:r>
              <w:rPr>
                <w:sz w:val="18"/>
              </w:rPr>
              <w:t>0,0%</w:t>
            </w:r>
          </w:p>
        </w:tc>
        <w:tc>
          <w:tcPr>
            <w:tcW w:type="dxa" w:w="1176"/>
          </w:tcPr>
          <w:p>
            <w:r>
              <w:rPr>
                <w:sz w:val="18"/>
              </w:rPr>
              <w:t>36.392</w:t>
            </w:r>
          </w:p>
        </w:tc>
        <w:tc>
          <w:tcPr>
            <w:tcW w:type="dxa" w:w="1176"/>
          </w:tcPr>
          <w:p>
            <w:r>
              <w:rPr>
                <w:sz w:val="18"/>
              </w:rPr>
              <w:t>335.689</w:t>
            </w:r>
          </w:p>
        </w:tc>
        <w:tc>
          <w:tcPr>
            <w:tcW w:type="dxa" w:w="1176"/>
          </w:tcPr>
          <w:p>
            <w:r>
              <w:rPr>
                <w:sz w:val="18"/>
              </w:rPr>
              <w:t>35.450</w:t>
            </w:r>
          </w:p>
        </w:tc>
        <w:tc>
          <w:tcPr>
            <w:tcW w:type="dxa" w:w="1176"/>
          </w:tcPr>
          <w:p>
            <w:r>
              <w:rPr>
                <w:sz w:val="18"/>
              </w:rPr>
              <w:t>9,2</w:t>
            </w:r>
          </w:p>
        </w:tc>
        <w:tc>
          <w:tcPr>
            <w:tcW w:type="dxa" w:w="1176"/>
          </w:tcPr>
          <w:p>
            <w:r>
              <w:rPr>
                <w:sz w:val="18"/>
              </w:rPr>
              <w:t>205,8–260,4</w:t>
            </w:r>
          </w:p>
        </w:tc>
      </w:tr>
      <w:tr>
        <w:tc>
          <w:tcPr>
            <w:tcW w:type="dxa" w:w="1176"/>
          </w:tcPr>
          <w:p>
            <w:r>
              <w:rPr>
                <w:sz w:val="18"/>
              </w:rPr>
              <w:t>10</w:t>
            </w:r>
          </w:p>
        </w:tc>
        <w:tc>
          <w:tcPr>
            <w:tcW w:type="dxa" w:w="1176"/>
          </w:tcPr>
          <w:p>
            <w:r>
              <w:rPr>
                <w:sz w:val="18"/>
              </w:rPr>
              <w:t>Parque dos Albatrozes</w:t>
            </w:r>
          </w:p>
        </w:tc>
        <w:tc>
          <w:tcPr>
            <w:tcW w:type="dxa" w:w="1176"/>
          </w:tcPr>
          <w:p>
            <w:r>
              <w:rPr>
                <w:sz w:val="18"/>
              </w:rPr>
              <w:t>32</w:t>
            </w:r>
          </w:p>
        </w:tc>
        <w:tc>
          <w:tcPr>
            <w:tcW w:type="dxa" w:w="1176"/>
          </w:tcPr>
          <w:p>
            <w:r>
              <w:rPr>
                <w:sz w:val="18"/>
              </w:rPr>
              <w:t>54+0</w:t>
            </w:r>
          </w:p>
        </w:tc>
        <w:tc>
          <w:tcPr>
            <w:tcW w:type="dxa" w:w="1176"/>
          </w:tcPr>
          <w:p>
            <w:r>
              <w:rPr>
                <w:sz w:val="18"/>
              </w:rPr>
              <w:t>17.996</w:t>
            </w:r>
          </w:p>
        </w:tc>
        <w:tc>
          <w:tcPr>
            <w:tcW w:type="dxa" w:w="1176"/>
          </w:tcPr>
          <w:p>
            <w:r>
              <w:rPr>
                <w:sz w:val="18"/>
              </w:rPr>
              <w:t>5.685</w:t>
            </w:r>
          </w:p>
        </w:tc>
        <w:tc>
          <w:tcPr>
            <w:tcW w:type="dxa" w:w="1176"/>
          </w:tcPr>
          <w:p>
            <w:r>
              <w:rPr>
                <w:sz w:val="18"/>
              </w:rPr>
              <w:t>31,6%</w:t>
            </w:r>
          </w:p>
        </w:tc>
        <w:tc>
          <w:tcPr>
            <w:tcW w:type="dxa" w:w="1176"/>
          </w:tcPr>
          <w:p>
            <w:r>
              <w:rPr>
                <w:sz w:val="18"/>
              </w:rPr>
              <w:t>12.311</w:t>
            </w:r>
          </w:p>
        </w:tc>
        <w:tc>
          <w:tcPr>
            <w:tcW w:type="dxa" w:w="1176"/>
          </w:tcPr>
          <w:p>
            <w:r>
              <w:rPr>
                <w:sz w:val="18"/>
              </w:rPr>
              <w:t>104.760</w:t>
            </w:r>
          </w:p>
        </w:tc>
        <w:tc>
          <w:tcPr>
            <w:tcW w:type="dxa" w:w="1176"/>
          </w:tcPr>
          <w:p>
            <w:r>
              <w:rPr>
                <w:sz w:val="18"/>
              </w:rPr>
              <w:t>0</w:t>
            </w:r>
          </w:p>
        </w:tc>
        <w:tc>
          <w:tcPr>
            <w:tcW w:type="dxa" w:w="1176"/>
          </w:tcPr>
          <w:p>
            <w:r>
              <w:rPr>
                <w:sz w:val="18"/>
              </w:rPr>
              <w:t>8,5</w:t>
            </w:r>
          </w:p>
        </w:tc>
        <w:tc>
          <w:tcPr>
            <w:tcW w:type="dxa" w:w="1176"/>
          </w:tcPr>
          <w:p>
            <w:r>
              <w:rPr>
                <w:sz w:val="18"/>
              </w:rPr>
              <w:t>63,7–80,6</w:t>
            </w:r>
          </w:p>
        </w:tc>
      </w:tr>
      <w:tr>
        <w:tc>
          <w:tcPr>
            <w:tcW w:type="dxa" w:w="1176"/>
          </w:tcPr>
          <w:p>
            <w:r>
              <w:rPr>
                <w:sz w:val="18"/>
              </w:rPr>
              <w:t>13</w:t>
            </w:r>
          </w:p>
        </w:tc>
        <w:tc>
          <w:tcPr>
            <w:tcW w:type="dxa" w:w="1176"/>
          </w:tcPr>
          <w:p>
            <w:r>
              <w:rPr>
                <w:sz w:val="18"/>
              </w:rPr>
              <w:t>Praia de Guriri</w:t>
            </w:r>
          </w:p>
        </w:tc>
        <w:tc>
          <w:tcPr>
            <w:tcW w:type="dxa" w:w="1176"/>
          </w:tcPr>
          <w:p>
            <w:r>
              <w:rPr>
                <w:sz w:val="18"/>
              </w:rPr>
              <w:t>40</w:t>
            </w:r>
          </w:p>
        </w:tc>
        <w:tc>
          <w:tcPr>
            <w:tcW w:type="dxa" w:w="1176"/>
          </w:tcPr>
          <w:p>
            <w:r>
              <w:rPr>
                <w:sz w:val="18"/>
              </w:rPr>
              <w:t>57+0</w:t>
            </w:r>
          </w:p>
        </w:tc>
        <w:tc>
          <w:tcPr>
            <w:tcW w:type="dxa" w:w="1176"/>
          </w:tcPr>
          <w:p>
            <w:r>
              <w:rPr>
                <w:sz w:val="18"/>
              </w:rPr>
              <w:t>12.416</w:t>
            </w:r>
          </w:p>
        </w:tc>
        <w:tc>
          <w:tcPr>
            <w:tcW w:type="dxa" w:w="1176"/>
          </w:tcPr>
          <w:p>
            <w:r>
              <w:rPr>
                <w:sz w:val="18"/>
              </w:rPr>
              <w:t>2.691</w:t>
            </w:r>
          </w:p>
        </w:tc>
        <w:tc>
          <w:tcPr>
            <w:tcW w:type="dxa" w:w="1176"/>
          </w:tcPr>
          <w:p>
            <w:r>
              <w:rPr>
                <w:sz w:val="18"/>
              </w:rPr>
              <w:t>21,7%</w:t>
            </w:r>
          </w:p>
        </w:tc>
        <w:tc>
          <w:tcPr>
            <w:tcW w:type="dxa" w:w="1176"/>
          </w:tcPr>
          <w:p>
            <w:r>
              <w:rPr>
                <w:sz w:val="18"/>
              </w:rPr>
              <w:t>9.725</w:t>
            </w:r>
          </w:p>
        </w:tc>
        <w:tc>
          <w:tcPr>
            <w:tcW w:type="dxa" w:w="1176"/>
          </w:tcPr>
          <w:p>
            <w:r>
              <w:rPr>
                <w:sz w:val="18"/>
              </w:rPr>
              <w:t>77.796</w:t>
            </w:r>
          </w:p>
        </w:tc>
        <w:tc>
          <w:tcPr>
            <w:tcW w:type="dxa" w:w="1176"/>
          </w:tcPr>
          <w:p>
            <w:r>
              <w:rPr>
                <w:sz w:val="18"/>
              </w:rPr>
              <w:t>0</w:t>
            </w:r>
          </w:p>
        </w:tc>
        <w:tc>
          <w:tcPr>
            <w:tcW w:type="dxa" w:w="1176"/>
          </w:tcPr>
          <w:p>
            <w:r>
              <w:rPr>
                <w:sz w:val="18"/>
              </w:rPr>
              <w:t>8,0</w:t>
            </w:r>
          </w:p>
        </w:tc>
        <w:tc>
          <w:tcPr>
            <w:tcW w:type="dxa" w:w="1176"/>
          </w:tcPr>
          <w:p>
            <w:r>
              <w:rPr>
                <w:sz w:val="18"/>
              </w:rPr>
              <w:t>48,1–60,9</w:t>
            </w:r>
          </w:p>
        </w:tc>
      </w:tr>
      <w:tr>
        <w:tc>
          <w:tcPr>
            <w:tcW w:type="dxa" w:w="1176"/>
          </w:tcPr>
          <w:p>
            <w:r>
              <w:rPr>
                <w:sz w:val="18"/>
              </w:rPr>
              <w:t>14</w:t>
            </w:r>
          </w:p>
        </w:tc>
        <w:tc>
          <w:tcPr>
            <w:tcW w:type="dxa" w:w="1176"/>
          </w:tcPr>
          <w:p>
            <w:r>
              <w:rPr>
                <w:sz w:val="18"/>
              </w:rPr>
              <w:t>Jardim das Caiçaras</w:t>
            </w:r>
          </w:p>
        </w:tc>
        <w:tc>
          <w:tcPr>
            <w:tcW w:type="dxa" w:w="1176"/>
          </w:tcPr>
          <w:p>
            <w:r>
              <w:rPr>
                <w:sz w:val="18"/>
              </w:rPr>
              <w:t>48</w:t>
            </w:r>
          </w:p>
        </w:tc>
        <w:tc>
          <w:tcPr>
            <w:tcW w:type="dxa" w:w="1176"/>
          </w:tcPr>
          <w:p>
            <w:r>
              <w:rPr>
                <w:sz w:val="18"/>
              </w:rPr>
              <w:t>78+0</w:t>
            </w:r>
          </w:p>
        </w:tc>
        <w:tc>
          <w:tcPr>
            <w:tcW w:type="dxa" w:w="1176"/>
          </w:tcPr>
          <w:p>
            <w:r>
              <w:rPr>
                <w:sz w:val="18"/>
              </w:rPr>
              <w:t>21.908</w:t>
            </w:r>
          </w:p>
        </w:tc>
        <w:tc>
          <w:tcPr>
            <w:tcW w:type="dxa" w:w="1176"/>
          </w:tcPr>
          <w:p>
            <w:r>
              <w:rPr>
                <w:sz w:val="18"/>
              </w:rPr>
              <w:t>3.731</w:t>
            </w:r>
          </w:p>
        </w:tc>
        <w:tc>
          <w:tcPr>
            <w:tcW w:type="dxa" w:w="1176"/>
          </w:tcPr>
          <w:p>
            <w:r>
              <w:rPr>
                <w:sz w:val="18"/>
              </w:rPr>
              <w:t>17,0%</w:t>
            </w:r>
          </w:p>
        </w:tc>
        <w:tc>
          <w:tcPr>
            <w:tcW w:type="dxa" w:w="1176"/>
          </w:tcPr>
          <w:p>
            <w:r>
              <w:rPr>
                <w:sz w:val="18"/>
              </w:rPr>
              <w:t>18.177</w:t>
            </w:r>
          </w:p>
        </w:tc>
        <w:tc>
          <w:tcPr>
            <w:tcW w:type="dxa" w:w="1176"/>
          </w:tcPr>
          <w:p>
            <w:r>
              <w:rPr>
                <w:sz w:val="18"/>
              </w:rPr>
              <w:t>145.416</w:t>
            </w:r>
          </w:p>
        </w:tc>
        <w:tc>
          <w:tcPr>
            <w:tcW w:type="dxa" w:w="1176"/>
          </w:tcPr>
          <w:p>
            <w:r>
              <w:rPr>
                <w:sz w:val="18"/>
              </w:rPr>
              <w:t>0</w:t>
            </w:r>
          </w:p>
        </w:tc>
        <w:tc>
          <w:tcPr>
            <w:tcW w:type="dxa" w:w="1176"/>
          </w:tcPr>
          <w:p>
            <w:r>
              <w:rPr>
                <w:sz w:val="18"/>
              </w:rPr>
              <w:t>8,0</w:t>
            </w:r>
          </w:p>
        </w:tc>
        <w:tc>
          <w:tcPr>
            <w:tcW w:type="dxa" w:w="1176"/>
          </w:tcPr>
          <w:p>
            <w:r>
              <w:rPr>
                <w:sz w:val="18"/>
              </w:rPr>
              <w:t>90,3–114,4</w:t>
            </w:r>
          </w:p>
        </w:tc>
      </w:tr>
      <w:tr>
        <w:tc>
          <w:tcPr>
            <w:tcW w:type="dxa" w:w="1176"/>
          </w:tcPr>
          <w:p>
            <w:r>
              <w:rPr>
                <w:sz w:val="18"/>
              </w:rPr>
              <w:t>15</w:t>
            </w:r>
          </w:p>
        </w:tc>
        <w:tc>
          <w:tcPr>
            <w:tcW w:type="dxa" w:w="1176"/>
          </w:tcPr>
          <w:p>
            <w:r>
              <w:rPr>
                <w:sz w:val="18"/>
              </w:rPr>
              <w:t>Morada do Sol</w:t>
            </w:r>
          </w:p>
        </w:tc>
        <w:tc>
          <w:tcPr>
            <w:tcW w:type="dxa" w:w="1176"/>
          </w:tcPr>
          <w:p>
            <w:r>
              <w:rPr>
                <w:sz w:val="18"/>
              </w:rPr>
              <w:t>13</w:t>
            </w:r>
          </w:p>
        </w:tc>
        <w:tc>
          <w:tcPr>
            <w:tcW w:type="dxa" w:w="1176"/>
          </w:tcPr>
          <w:p>
            <w:r>
              <w:rPr>
                <w:sz w:val="18"/>
              </w:rPr>
              <w:t>15+0</w:t>
            </w:r>
          </w:p>
        </w:tc>
        <w:tc>
          <w:tcPr>
            <w:tcW w:type="dxa" w:w="1176"/>
          </w:tcPr>
          <w:p>
            <w:r>
              <w:rPr>
                <w:sz w:val="18"/>
              </w:rPr>
              <w:t>3.115</w:t>
            </w:r>
          </w:p>
        </w:tc>
        <w:tc>
          <w:tcPr>
            <w:tcW w:type="dxa" w:w="1176"/>
          </w:tcPr>
          <w:p>
            <w:r>
              <w:rPr>
                <w:sz w:val="18"/>
              </w:rPr>
              <w:t>514</w:t>
            </w:r>
          </w:p>
        </w:tc>
        <w:tc>
          <w:tcPr>
            <w:tcW w:type="dxa" w:w="1176"/>
          </w:tcPr>
          <w:p>
            <w:r>
              <w:rPr>
                <w:sz w:val="18"/>
              </w:rPr>
              <w:t>16,5%</w:t>
            </w:r>
          </w:p>
        </w:tc>
        <w:tc>
          <w:tcPr>
            <w:tcW w:type="dxa" w:w="1176"/>
          </w:tcPr>
          <w:p>
            <w:r>
              <w:rPr>
                <w:sz w:val="18"/>
              </w:rPr>
              <w:t>2.600</w:t>
            </w:r>
          </w:p>
        </w:tc>
        <w:tc>
          <w:tcPr>
            <w:tcW w:type="dxa" w:w="1176"/>
          </w:tcPr>
          <w:p>
            <w:r>
              <w:rPr>
                <w:sz w:val="18"/>
              </w:rPr>
              <w:t>20.801</w:t>
            </w:r>
          </w:p>
        </w:tc>
        <w:tc>
          <w:tcPr>
            <w:tcW w:type="dxa" w:w="1176"/>
          </w:tcPr>
          <w:p>
            <w:r>
              <w:rPr>
                <w:sz w:val="18"/>
              </w:rPr>
              <w:t>0</w:t>
            </w:r>
          </w:p>
        </w:tc>
        <w:tc>
          <w:tcPr>
            <w:tcW w:type="dxa" w:w="1176"/>
          </w:tcPr>
          <w:p>
            <w:r>
              <w:rPr>
                <w:sz w:val="18"/>
              </w:rPr>
              <w:t>8,0</w:t>
            </w:r>
          </w:p>
        </w:tc>
        <w:tc>
          <w:tcPr>
            <w:tcW w:type="dxa" w:w="1176"/>
          </w:tcPr>
          <w:p>
            <w:r>
              <w:rPr>
                <w:sz w:val="18"/>
              </w:rPr>
              <w:t>12,7–16,1</w:t>
            </w:r>
          </w:p>
        </w:tc>
      </w:tr>
      <w:tr>
        <w:tc>
          <w:tcPr>
            <w:tcW w:type="dxa" w:w="1176"/>
          </w:tcPr>
          <w:p>
            <w:r>
              <w:rPr>
                <w:sz w:val="18"/>
              </w:rPr>
              <w:t>25</w:t>
            </w:r>
          </w:p>
        </w:tc>
        <w:tc>
          <w:tcPr>
            <w:tcW w:type="dxa" w:w="1176"/>
          </w:tcPr>
          <w:p>
            <w:r>
              <w:rPr>
                <w:sz w:val="18"/>
              </w:rPr>
              <w:t>Parque Residencial Oitizeiro</w:t>
            </w:r>
          </w:p>
        </w:tc>
        <w:tc>
          <w:tcPr>
            <w:tcW w:type="dxa" w:w="1176"/>
          </w:tcPr>
          <w:p>
            <w:r>
              <w:rPr>
                <w:sz w:val="18"/>
              </w:rPr>
              <w:t>31</w:t>
            </w:r>
          </w:p>
        </w:tc>
        <w:tc>
          <w:tcPr>
            <w:tcW w:type="dxa" w:w="1176"/>
          </w:tcPr>
          <w:p>
            <w:r>
              <w:rPr>
                <w:sz w:val="18"/>
              </w:rPr>
              <w:t>41+0</w:t>
            </w:r>
          </w:p>
        </w:tc>
        <w:tc>
          <w:tcPr>
            <w:tcW w:type="dxa" w:w="1176"/>
          </w:tcPr>
          <w:p>
            <w:r>
              <w:rPr>
                <w:sz w:val="18"/>
              </w:rPr>
              <w:t>13.896</w:t>
            </w:r>
          </w:p>
        </w:tc>
        <w:tc>
          <w:tcPr>
            <w:tcW w:type="dxa" w:w="1176"/>
          </w:tcPr>
          <w:p>
            <w:r>
              <w:rPr>
                <w:sz w:val="18"/>
              </w:rPr>
              <w:t>752</w:t>
            </w:r>
          </w:p>
        </w:tc>
        <w:tc>
          <w:tcPr>
            <w:tcW w:type="dxa" w:w="1176"/>
          </w:tcPr>
          <w:p>
            <w:r>
              <w:rPr>
                <w:sz w:val="18"/>
              </w:rPr>
              <w:t>5,4%</w:t>
            </w:r>
          </w:p>
        </w:tc>
        <w:tc>
          <w:tcPr>
            <w:tcW w:type="dxa" w:w="1176"/>
          </w:tcPr>
          <w:p>
            <w:r>
              <w:rPr>
                <w:sz w:val="18"/>
              </w:rPr>
              <w:t>13.143</w:t>
            </w:r>
          </w:p>
        </w:tc>
        <w:tc>
          <w:tcPr>
            <w:tcW w:type="dxa" w:w="1176"/>
          </w:tcPr>
          <w:p>
            <w:r>
              <w:rPr>
                <w:sz w:val="18"/>
              </w:rPr>
              <w:t>110.278</w:t>
            </w:r>
          </w:p>
        </w:tc>
        <w:tc>
          <w:tcPr>
            <w:tcW w:type="dxa" w:w="1176"/>
          </w:tcPr>
          <w:p>
            <w:r>
              <w:rPr>
                <w:sz w:val="18"/>
              </w:rPr>
              <w:t>0</w:t>
            </w:r>
          </w:p>
        </w:tc>
        <w:tc>
          <w:tcPr>
            <w:tcW w:type="dxa" w:w="1176"/>
          </w:tcPr>
          <w:p>
            <w:r>
              <w:rPr>
                <w:sz w:val="18"/>
              </w:rPr>
              <w:t>8,4</w:t>
            </w:r>
          </w:p>
        </w:tc>
        <w:tc>
          <w:tcPr>
            <w:tcW w:type="dxa" w:w="1176"/>
          </w:tcPr>
          <w:p>
            <w:r>
              <w:rPr>
                <w:sz w:val="18"/>
              </w:rPr>
              <w:t>66,8–84,4</w:t>
            </w:r>
          </w:p>
        </w:tc>
      </w:tr>
      <w:tr>
        <w:tc>
          <w:tcPr>
            <w:tcW w:type="dxa" w:w="1176"/>
          </w:tcPr>
          <w:p>
            <w:r>
              <w:rPr>
                <w:sz w:val="18"/>
              </w:rPr>
              <w:t>27</w:t>
            </w:r>
          </w:p>
        </w:tc>
        <w:tc>
          <w:tcPr>
            <w:tcW w:type="dxa" w:w="1176"/>
          </w:tcPr>
          <w:p>
            <w:r>
              <w:rPr>
                <w:sz w:val="18"/>
              </w:rPr>
              <w:t>Residencial Mar Aberto</w:t>
            </w:r>
          </w:p>
        </w:tc>
        <w:tc>
          <w:tcPr>
            <w:tcW w:type="dxa" w:w="1176"/>
          </w:tcPr>
          <w:p>
            <w:r>
              <w:rPr>
                <w:sz w:val="18"/>
              </w:rPr>
              <w:t>35</w:t>
            </w:r>
          </w:p>
        </w:tc>
        <w:tc>
          <w:tcPr>
            <w:tcW w:type="dxa" w:w="1176"/>
          </w:tcPr>
          <w:p>
            <w:r>
              <w:rPr>
                <w:sz w:val="18"/>
              </w:rPr>
              <w:t>8+25</w:t>
            </w:r>
          </w:p>
        </w:tc>
        <w:tc>
          <w:tcPr>
            <w:tcW w:type="dxa" w:w="1176"/>
          </w:tcPr>
          <w:p>
            <w:r>
              <w:rPr>
                <w:sz w:val="18"/>
              </w:rPr>
              <w:t>6.839</w:t>
            </w:r>
          </w:p>
        </w:tc>
        <w:tc>
          <w:tcPr>
            <w:tcW w:type="dxa" w:w="1176"/>
          </w:tcPr>
          <w:p>
            <w:r>
              <w:rPr>
                <w:sz w:val="18"/>
              </w:rPr>
              <w:t>626</w:t>
            </w:r>
          </w:p>
        </w:tc>
        <w:tc>
          <w:tcPr>
            <w:tcW w:type="dxa" w:w="1176"/>
          </w:tcPr>
          <w:p>
            <w:r>
              <w:rPr>
                <w:sz w:val="18"/>
              </w:rPr>
              <w:t>9,2%</w:t>
            </w:r>
          </w:p>
        </w:tc>
        <w:tc>
          <w:tcPr>
            <w:tcW w:type="dxa" w:w="1176"/>
          </w:tcPr>
          <w:p>
            <w:r>
              <w:rPr>
                <w:sz w:val="18"/>
              </w:rPr>
              <w:t>6.213</w:t>
            </w:r>
          </w:p>
        </w:tc>
        <w:tc>
          <w:tcPr>
            <w:tcW w:type="dxa" w:w="1176"/>
          </w:tcPr>
          <w:p>
            <w:r>
              <w:rPr>
                <w:sz w:val="18"/>
              </w:rPr>
              <w:t>68.341</w:t>
            </w:r>
          </w:p>
        </w:tc>
        <w:tc>
          <w:tcPr>
            <w:tcW w:type="dxa" w:w="1176"/>
          </w:tcPr>
          <w:p>
            <w:r>
              <w:rPr>
                <w:sz w:val="18"/>
              </w:rPr>
              <w:t>4.108</w:t>
            </w:r>
          </w:p>
        </w:tc>
        <w:tc>
          <w:tcPr>
            <w:tcW w:type="dxa" w:w="1176"/>
          </w:tcPr>
          <w:p>
            <w:r>
              <w:rPr>
                <w:sz w:val="18"/>
              </w:rPr>
              <w:t>11,0</w:t>
            </w:r>
          </w:p>
        </w:tc>
        <w:tc>
          <w:tcPr>
            <w:tcW w:type="dxa" w:w="1176"/>
          </w:tcPr>
          <w:p>
            <w:r>
              <w:rPr>
                <w:sz w:val="18"/>
              </w:rPr>
              <w:t>42,4–53,7</w:t>
            </w:r>
          </w:p>
        </w:tc>
      </w:tr>
      <w:tr>
        <w:tc>
          <w:tcPr>
            <w:tcW w:type="dxa" w:w="1176"/>
          </w:tcPr>
          <w:p>
            <w:r>
              <w:rPr>
                <w:sz w:val="18"/>
              </w:rPr>
              <w:t>31</w:t>
            </w:r>
          </w:p>
        </w:tc>
        <w:tc>
          <w:tcPr>
            <w:tcW w:type="dxa" w:w="1176"/>
          </w:tcPr>
          <w:p>
            <w:r>
              <w:rPr>
                <w:sz w:val="18"/>
              </w:rPr>
              <w:t>Melhorini Residencial Parque</w:t>
            </w:r>
          </w:p>
        </w:tc>
        <w:tc>
          <w:tcPr>
            <w:tcW w:type="dxa" w:w="1176"/>
          </w:tcPr>
          <w:p>
            <w:r>
              <w:rPr>
                <w:sz w:val="18"/>
              </w:rPr>
              <w:t>10</w:t>
            </w:r>
          </w:p>
        </w:tc>
        <w:tc>
          <w:tcPr>
            <w:tcW w:type="dxa" w:w="1176"/>
          </w:tcPr>
          <w:p>
            <w:r>
              <w:rPr>
                <w:sz w:val="18"/>
              </w:rPr>
              <w:t>10+0</w:t>
            </w:r>
          </w:p>
        </w:tc>
        <w:tc>
          <w:tcPr>
            <w:tcW w:type="dxa" w:w="1176"/>
          </w:tcPr>
          <w:p>
            <w:r>
              <w:rPr>
                <w:sz w:val="18"/>
              </w:rPr>
              <w:t>1.521</w:t>
            </w:r>
          </w:p>
        </w:tc>
        <w:tc>
          <w:tcPr>
            <w:tcW w:type="dxa" w:w="1176"/>
          </w:tcPr>
          <w:p>
            <w:r>
              <w:rPr>
                <w:sz w:val="18"/>
              </w:rPr>
              <w:t>339</w:t>
            </w:r>
          </w:p>
        </w:tc>
        <w:tc>
          <w:tcPr>
            <w:tcW w:type="dxa" w:w="1176"/>
          </w:tcPr>
          <w:p>
            <w:r>
              <w:rPr>
                <w:sz w:val="18"/>
              </w:rPr>
              <w:t>22,3%</w:t>
            </w:r>
          </w:p>
        </w:tc>
        <w:tc>
          <w:tcPr>
            <w:tcW w:type="dxa" w:w="1176"/>
          </w:tcPr>
          <w:p>
            <w:r>
              <w:rPr>
                <w:sz w:val="18"/>
              </w:rPr>
              <w:t>1.182</w:t>
            </w:r>
          </w:p>
        </w:tc>
        <w:tc>
          <w:tcPr>
            <w:tcW w:type="dxa" w:w="1176"/>
          </w:tcPr>
          <w:p>
            <w:r>
              <w:rPr>
                <w:sz w:val="18"/>
              </w:rPr>
              <w:t>9.453</w:t>
            </w:r>
          </w:p>
        </w:tc>
        <w:tc>
          <w:tcPr>
            <w:tcW w:type="dxa" w:w="1176"/>
          </w:tcPr>
          <w:p>
            <w:r>
              <w:rPr>
                <w:sz w:val="18"/>
              </w:rPr>
              <w:t>0</w:t>
            </w:r>
          </w:p>
        </w:tc>
        <w:tc>
          <w:tcPr>
            <w:tcW w:type="dxa" w:w="1176"/>
          </w:tcPr>
          <w:p>
            <w:r>
              <w:rPr>
                <w:sz w:val="18"/>
              </w:rPr>
              <w:t>8,0</w:t>
            </w:r>
          </w:p>
        </w:tc>
        <w:tc>
          <w:tcPr>
            <w:tcW w:type="dxa" w:w="1176"/>
          </w:tcPr>
          <w:p>
            <w:r>
              <w:rPr>
                <w:sz w:val="18"/>
              </w:rPr>
              <w:t>5,8–7,4</w:t>
            </w:r>
          </w:p>
        </w:tc>
      </w:tr>
      <w:tr>
        <w:tc>
          <w:tcPr>
            <w:tcW w:type="dxa" w:w="1176"/>
          </w:tcPr>
          <w:p>
            <w:r>
              <w:rPr>
                <w:sz w:val="18"/>
              </w:rPr>
              <w:t>35</w:t>
            </w:r>
          </w:p>
        </w:tc>
        <w:tc>
          <w:tcPr>
            <w:tcW w:type="dxa" w:w="1176"/>
          </w:tcPr>
          <w:p>
            <w:r>
              <w:rPr>
                <w:sz w:val="18"/>
              </w:rPr>
              <w:t>Verão Vermelho</w:t>
            </w:r>
          </w:p>
        </w:tc>
        <w:tc>
          <w:tcPr>
            <w:tcW w:type="dxa" w:w="1176"/>
          </w:tcPr>
          <w:p>
            <w:r>
              <w:rPr>
                <w:sz w:val="18"/>
              </w:rPr>
              <w:t>34</w:t>
            </w:r>
          </w:p>
        </w:tc>
        <w:tc>
          <w:tcPr>
            <w:tcW w:type="dxa" w:w="1176"/>
          </w:tcPr>
          <w:p>
            <w:r>
              <w:rPr>
                <w:sz w:val="18"/>
              </w:rPr>
              <w:t>9+28</w:t>
            </w:r>
          </w:p>
        </w:tc>
        <w:tc>
          <w:tcPr>
            <w:tcW w:type="dxa" w:w="1176"/>
          </w:tcPr>
          <w:p>
            <w:r>
              <w:rPr>
                <w:sz w:val="18"/>
              </w:rPr>
              <w:t>10.602</w:t>
            </w:r>
          </w:p>
        </w:tc>
        <w:tc>
          <w:tcPr>
            <w:tcW w:type="dxa" w:w="1176"/>
          </w:tcPr>
          <w:p>
            <w:r>
              <w:rPr>
                <w:sz w:val="18"/>
              </w:rPr>
              <w:t>425</w:t>
            </w:r>
          </w:p>
        </w:tc>
        <w:tc>
          <w:tcPr>
            <w:tcW w:type="dxa" w:w="1176"/>
          </w:tcPr>
          <w:p>
            <w:r>
              <w:rPr>
                <w:sz w:val="18"/>
              </w:rPr>
              <w:t>4,0%</w:t>
            </w:r>
          </w:p>
        </w:tc>
        <w:tc>
          <w:tcPr>
            <w:tcW w:type="dxa" w:w="1176"/>
          </w:tcPr>
          <w:p>
            <w:r>
              <w:rPr>
                <w:sz w:val="18"/>
              </w:rPr>
              <w:t>10.177</w:t>
            </w:r>
          </w:p>
        </w:tc>
        <w:tc>
          <w:tcPr>
            <w:tcW w:type="dxa" w:w="1176"/>
          </w:tcPr>
          <w:p>
            <w:r>
              <w:rPr>
                <w:sz w:val="18"/>
              </w:rPr>
              <w:t>79.492</w:t>
            </w:r>
          </w:p>
        </w:tc>
        <w:tc>
          <w:tcPr>
            <w:tcW w:type="dxa" w:w="1176"/>
          </w:tcPr>
          <w:p>
            <w:r>
              <w:rPr>
                <w:sz w:val="18"/>
              </w:rPr>
              <w:t>7.830</w:t>
            </w:r>
          </w:p>
        </w:tc>
        <w:tc>
          <w:tcPr>
            <w:tcW w:type="dxa" w:w="1176"/>
          </w:tcPr>
          <w:p>
            <w:r>
              <w:rPr>
                <w:sz w:val="18"/>
              </w:rPr>
              <w:t>7,8</w:t>
            </w:r>
          </w:p>
        </w:tc>
        <w:tc>
          <w:tcPr>
            <w:tcW w:type="dxa" w:w="1176"/>
          </w:tcPr>
          <w:p>
            <w:r>
              <w:rPr>
                <w:sz w:val="18"/>
              </w:rPr>
              <w:t>48,5–61,3</w:t>
            </w:r>
          </w:p>
        </w:tc>
      </w:tr>
      <w:tr>
        <w:tc>
          <w:tcPr>
            <w:tcW w:type="dxa" w:w="1176"/>
          </w:tcPr>
          <w:p>
            <w:r>
              <w:rPr>
                <w:sz w:val="18"/>
              </w:rPr>
              <w:t>36</w:t>
            </w:r>
          </w:p>
        </w:tc>
        <w:tc>
          <w:tcPr>
            <w:tcW w:type="dxa" w:w="1176"/>
          </w:tcPr>
          <w:p>
            <w:r>
              <w:rPr>
                <w:sz w:val="18"/>
              </w:rPr>
              <w:t>Residencial Ilha de Guriri I</w:t>
            </w:r>
          </w:p>
        </w:tc>
        <w:tc>
          <w:tcPr>
            <w:tcW w:type="dxa" w:w="1176"/>
          </w:tcPr>
          <w:p>
            <w:r>
              <w:rPr>
                <w:sz w:val="18"/>
              </w:rPr>
              <w:t>9</w:t>
            </w:r>
          </w:p>
        </w:tc>
        <w:tc>
          <w:tcPr>
            <w:tcW w:type="dxa" w:w="1176"/>
          </w:tcPr>
          <w:p>
            <w:r>
              <w:rPr>
                <w:sz w:val="18"/>
              </w:rPr>
              <w:t>9+0</w:t>
            </w:r>
          </w:p>
        </w:tc>
        <w:tc>
          <w:tcPr>
            <w:tcW w:type="dxa" w:w="1176"/>
          </w:tcPr>
          <w:p>
            <w:r>
              <w:rPr>
                <w:sz w:val="18"/>
              </w:rPr>
              <w:t>1.995</w:t>
            </w:r>
          </w:p>
        </w:tc>
        <w:tc>
          <w:tcPr>
            <w:tcW w:type="dxa" w:w="1176"/>
          </w:tcPr>
          <w:p>
            <w:r>
              <w:rPr>
                <w:sz w:val="18"/>
              </w:rPr>
              <w:t>0</w:t>
            </w:r>
          </w:p>
        </w:tc>
        <w:tc>
          <w:tcPr>
            <w:tcW w:type="dxa" w:w="1176"/>
          </w:tcPr>
          <w:p>
            <w:r>
              <w:rPr>
                <w:sz w:val="18"/>
              </w:rPr>
              <w:t>0,0%</w:t>
            </w:r>
          </w:p>
        </w:tc>
        <w:tc>
          <w:tcPr>
            <w:tcW w:type="dxa" w:w="1176"/>
          </w:tcPr>
          <w:p>
            <w:r>
              <w:rPr>
                <w:sz w:val="18"/>
              </w:rPr>
              <w:t>1.995</w:t>
            </w:r>
          </w:p>
        </w:tc>
        <w:tc>
          <w:tcPr>
            <w:tcW w:type="dxa" w:w="1176"/>
          </w:tcPr>
          <w:p>
            <w:r>
              <w:rPr>
                <w:sz w:val="18"/>
              </w:rPr>
              <w:t>15.962</w:t>
            </w:r>
          </w:p>
        </w:tc>
        <w:tc>
          <w:tcPr>
            <w:tcW w:type="dxa" w:w="1176"/>
          </w:tcPr>
          <w:p>
            <w:r>
              <w:rPr>
                <w:sz w:val="18"/>
              </w:rPr>
              <w:t>0</w:t>
            </w:r>
          </w:p>
        </w:tc>
        <w:tc>
          <w:tcPr>
            <w:tcW w:type="dxa" w:w="1176"/>
          </w:tcPr>
          <w:p>
            <w:r>
              <w:rPr>
                <w:sz w:val="18"/>
              </w:rPr>
              <w:t>8,0</w:t>
            </w:r>
          </w:p>
        </w:tc>
        <w:tc>
          <w:tcPr>
            <w:tcW w:type="dxa" w:w="1176"/>
          </w:tcPr>
          <w:p>
            <w:r>
              <w:rPr>
                <w:sz w:val="18"/>
              </w:rPr>
              <w:t>9,8–12,4</w:t>
            </w:r>
          </w:p>
        </w:tc>
      </w:tr>
      <w:tr>
        <w:tc>
          <w:tcPr>
            <w:tcW w:type="dxa" w:w="1176"/>
          </w:tcPr>
          <w:p>
            <w:r>
              <w:rPr>
                <w:sz w:val="18"/>
              </w:rPr>
              <w:t>39</w:t>
            </w:r>
          </w:p>
        </w:tc>
        <w:tc>
          <w:tcPr>
            <w:tcW w:type="dxa" w:w="1176"/>
          </w:tcPr>
          <w:p>
            <w:r>
              <w:rPr>
                <w:sz w:val="18"/>
              </w:rPr>
              <w:t>Central</w:t>
            </w:r>
          </w:p>
        </w:tc>
        <w:tc>
          <w:tcPr>
            <w:tcW w:type="dxa" w:w="1176"/>
          </w:tcPr>
          <w:p>
            <w:r>
              <w:rPr>
                <w:sz w:val="18"/>
              </w:rPr>
              <w:t>15</w:t>
            </w:r>
          </w:p>
        </w:tc>
        <w:tc>
          <w:tcPr>
            <w:tcW w:type="dxa" w:w="1176"/>
          </w:tcPr>
          <w:p>
            <w:r>
              <w:rPr>
                <w:sz w:val="18"/>
              </w:rPr>
              <w:t>10+0</w:t>
            </w:r>
          </w:p>
        </w:tc>
        <w:tc>
          <w:tcPr>
            <w:tcW w:type="dxa" w:w="1176"/>
          </w:tcPr>
          <w:p>
            <w:r>
              <w:rPr>
                <w:sz w:val="18"/>
              </w:rPr>
              <w:t>3.725</w:t>
            </w:r>
          </w:p>
        </w:tc>
        <w:tc>
          <w:tcPr>
            <w:tcW w:type="dxa" w:w="1176"/>
          </w:tcPr>
          <w:p>
            <w:r>
              <w:rPr>
                <w:sz w:val="18"/>
              </w:rPr>
              <w:t>435</w:t>
            </w:r>
          </w:p>
        </w:tc>
        <w:tc>
          <w:tcPr>
            <w:tcW w:type="dxa" w:w="1176"/>
          </w:tcPr>
          <w:p>
            <w:r>
              <w:rPr>
                <w:sz w:val="18"/>
              </w:rPr>
              <w:t>11,7%</w:t>
            </w:r>
          </w:p>
        </w:tc>
        <w:tc>
          <w:tcPr>
            <w:tcW w:type="dxa" w:w="1176"/>
          </w:tcPr>
          <w:p>
            <w:r>
              <w:rPr>
                <w:sz w:val="18"/>
              </w:rPr>
              <w:t>3.290</w:t>
            </w:r>
          </w:p>
        </w:tc>
        <w:tc>
          <w:tcPr>
            <w:tcW w:type="dxa" w:w="1176"/>
          </w:tcPr>
          <w:p>
            <w:r>
              <w:rPr>
                <w:sz w:val="18"/>
              </w:rPr>
              <w:t>26.319</w:t>
            </w:r>
          </w:p>
        </w:tc>
        <w:tc>
          <w:tcPr>
            <w:tcW w:type="dxa" w:w="1176"/>
          </w:tcPr>
          <w:p>
            <w:r>
              <w:rPr>
                <w:sz w:val="18"/>
              </w:rPr>
              <w:t>0</w:t>
            </w:r>
          </w:p>
        </w:tc>
        <w:tc>
          <w:tcPr>
            <w:tcW w:type="dxa" w:w="1176"/>
          </w:tcPr>
          <w:p>
            <w:r>
              <w:rPr>
                <w:sz w:val="18"/>
              </w:rPr>
              <w:t>8,0</w:t>
            </w:r>
          </w:p>
        </w:tc>
        <w:tc>
          <w:tcPr>
            <w:tcW w:type="dxa" w:w="1176"/>
          </w:tcPr>
          <w:p>
            <w:r>
              <w:rPr>
                <w:sz w:val="18"/>
              </w:rPr>
              <w:t>16,2–20,6</w:t>
            </w:r>
          </w:p>
        </w:tc>
      </w:tr>
      <w:tr>
        <w:tc>
          <w:tcPr>
            <w:tcW w:type="dxa" w:w="1176"/>
          </w:tcPr>
          <w:p>
            <w:r>
              <w:rPr>
                <w:sz w:val="18"/>
              </w:rPr>
              <w:t>42</w:t>
            </w:r>
          </w:p>
        </w:tc>
        <w:tc>
          <w:tcPr>
            <w:tcW w:type="dxa" w:w="1176"/>
          </w:tcPr>
          <w:p>
            <w:r>
              <w:rPr>
                <w:sz w:val="18"/>
              </w:rPr>
              <w:t>Residencial Bom Jesus</w:t>
            </w:r>
          </w:p>
        </w:tc>
        <w:tc>
          <w:tcPr>
            <w:tcW w:type="dxa" w:w="1176"/>
          </w:tcPr>
          <w:p>
            <w:r>
              <w:rPr>
                <w:sz w:val="18"/>
              </w:rPr>
              <w:t>22</w:t>
            </w:r>
          </w:p>
        </w:tc>
        <w:tc>
          <w:tcPr>
            <w:tcW w:type="dxa" w:w="1176"/>
          </w:tcPr>
          <w:p>
            <w:r>
              <w:rPr>
                <w:sz w:val="18"/>
              </w:rPr>
              <w:t>70+0</w:t>
            </w:r>
          </w:p>
        </w:tc>
        <w:tc>
          <w:tcPr>
            <w:tcW w:type="dxa" w:w="1176"/>
          </w:tcPr>
          <w:p>
            <w:r>
              <w:rPr>
                <w:sz w:val="18"/>
              </w:rPr>
              <w:t>23.700</w:t>
            </w:r>
          </w:p>
        </w:tc>
        <w:tc>
          <w:tcPr>
            <w:tcW w:type="dxa" w:w="1176"/>
          </w:tcPr>
          <w:p>
            <w:r>
              <w:rPr>
                <w:sz w:val="18"/>
              </w:rPr>
              <w:t>20.666</w:t>
            </w:r>
          </w:p>
        </w:tc>
        <w:tc>
          <w:tcPr>
            <w:tcW w:type="dxa" w:w="1176"/>
          </w:tcPr>
          <w:p>
            <w:r>
              <w:rPr>
                <w:sz w:val="18"/>
              </w:rPr>
              <w:t>87,2%</w:t>
            </w:r>
          </w:p>
        </w:tc>
        <w:tc>
          <w:tcPr>
            <w:tcW w:type="dxa" w:w="1176"/>
          </w:tcPr>
          <w:p>
            <w:r>
              <w:rPr>
                <w:sz w:val="18"/>
              </w:rPr>
              <w:t>3.035</w:t>
            </w:r>
          </w:p>
        </w:tc>
        <w:tc>
          <w:tcPr>
            <w:tcW w:type="dxa" w:w="1176"/>
          </w:tcPr>
          <w:p>
            <w:r>
              <w:rPr>
                <w:sz w:val="18"/>
              </w:rPr>
              <w:t>24.277</w:t>
            </w:r>
          </w:p>
        </w:tc>
        <w:tc>
          <w:tcPr>
            <w:tcW w:type="dxa" w:w="1176"/>
          </w:tcPr>
          <w:p>
            <w:r>
              <w:rPr>
                <w:sz w:val="18"/>
              </w:rPr>
              <w:t>2.076</w:t>
            </w:r>
          </w:p>
        </w:tc>
        <w:tc>
          <w:tcPr>
            <w:tcW w:type="dxa" w:w="1176"/>
          </w:tcPr>
          <w:p>
            <w:r>
              <w:rPr>
                <w:sz w:val="18"/>
              </w:rPr>
              <w:t>8,0</w:t>
            </w:r>
          </w:p>
        </w:tc>
        <w:tc>
          <w:tcPr>
            <w:tcW w:type="dxa" w:w="1176"/>
          </w:tcPr>
          <w:p>
            <w:r>
              <w:rPr>
                <w:sz w:val="18"/>
              </w:rPr>
              <w:t>19,4–25,1</w:t>
            </w:r>
          </w:p>
        </w:tc>
      </w:tr>
      <w:tr>
        <w:tc>
          <w:tcPr>
            <w:tcW w:type="dxa" w:w="1176"/>
          </w:tcPr>
          <w:p>
            <w:r>
              <w:rPr>
                <w:sz w:val="18"/>
              </w:rPr>
              <w:t>47</w:t>
            </w:r>
          </w:p>
        </w:tc>
        <w:tc>
          <w:tcPr>
            <w:tcW w:type="dxa" w:w="1176"/>
          </w:tcPr>
          <w:p>
            <w:r>
              <w:rPr>
                <w:sz w:val="18"/>
              </w:rPr>
              <w:t>Praiano</w:t>
            </w:r>
          </w:p>
        </w:tc>
        <w:tc>
          <w:tcPr>
            <w:tcW w:type="dxa" w:w="1176"/>
          </w:tcPr>
          <w:p>
            <w:r>
              <w:rPr>
                <w:sz w:val="18"/>
              </w:rPr>
              <w:t>15</w:t>
            </w:r>
          </w:p>
        </w:tc>
        <w:tc>
          <w:tcPr>
            <w:tcW w:type="dxa" w:w="1176"/>
          </w:tcPr>
          <w:p>
            <w:r>
              <w:rPr>
                <w:sz w:val="18"/>
              </w:rPr>
              <w:t>15+0</w:t>
            </w:r>
          </w:p>
        </w:tc>
        <w:tc>
          <w:tcPr>
            <w:tcW w:type="dxa" w:w="1176"/>
          </w:tcPr>
          <w:p>
            <w:r>
              <w:rPr>
                <w:sz w:val="18"/>
              </w:rPr>
              <w:t>2.612</w:t>
            </w:r>
          </w:p>
        </w:tc>
        <w:tc>
          <w:tcPr>
            <w:tcW w:type="dxa" w:w="1176"/>
          </w:tcPr>
          <w:p>
            <w:r>
              <w:rPr>
                <w:sz w:val="18"/>
              </w:rPr>
              <w:t>257</w:t>
            </w:r>
          </w:p>
        </w:tc>
        <w:tc>
          <w:tcPr>
            <w:tcW w:type="dxa" w:w="1176"/>
          </w:tcPr>
          <w:p>
            <w:r>
              <w:rPr>
                <w:sz w:val="18"/>
              </w:rPr>
              <w:t>9,9%</w:t>
            </w:r>
          </w:p>
        </w:tc>
        <w:tc>
          <w:tcPr>
            <w:tcW w:type="dxa" w:w="1176"/>
          </w:tcPr>
          <w:p>
            <w:r>
              <w:rPr>
                <w:sz w:val="18"/>
              </w:rPr>
              <w:t>2.355</w:t>
            </w:r>
          </w:p>
        </w:tc>
        <w:tc>
          <w:tcPr>
            <w:tcW w:type="dxa" w:w="1176"/>
          </w:tcPr>
          <w:p>
            <w:r>
              <w:rPr>
                <w:sz w:val="18"/>
              </w:rPr>
              <w:t>18.838</w:t>
            </w:r>
          </w:p>
        </w:tc>
        <w:tc>
          <w:tcPr>
            <w:tcW w:type="dxa" w:w="1176"/>
          </w:tcPr>
          <w:p>
            <w:r>
              <w:rPr>
                <w:sz w:val="18"/>
              </w:rPr>
              <w:t>0</w:t>
            </w:r>
          </w:p>
        </w:tc>
        <w:tc>
          <w:tcPr>
            <w:tcW w:type="dxa" w:w="1176"/>
          </w:tcPr>
          <w:p>
            <w:r>
              <w:rPr>
                <w:sz w:val="18"/>
              </w:rPr>
              <w:t>8,0</w:t>
            </w:r>
          </w:p>
        </w:tc>
        <w:tc>
          <w:tcPr>
            <w:tcW w:type="dxa" w:w="1176"/>
          </w:tcPr>
          <w:p>
            <w:r>
              <w:rPr>
                <w:sz w:val="18"/>
              </w:rPr>
              <w:t>11,6–14,7</w:t>
            </w:r>
          </w:p>
        </w:tc>
      </w:tr>
      <w:tr>
        <w:tc>
          <w:tcPr>
            <w:tcW w:type="dxa" w:w="1176"/>
          </w:tcPr>
          <w:p>
            <w:r>
              <w:rPr>
                <w:sz w:val="18"/>
              </w:rPr>
              <w:t>49</w:t>
            </w:r>
          </w:p>
        </w:tc>
        <w:tc>
          <w:tcPr>
            <w:tcW w:type="dxa" w:w="1176"/>
          </w:tcPr>
          <w:p>
            <w:r>
              <w:rPr>
                <w:sz w:val="18"/>
              </w:rPr>
              <w:t>Vale do Amazonas</w:t>
            </w:r>
          </w:p>
        </w:tc>
        <w:tc>
          <w:tcPr>
            <w:tcW w:type="dxa" w:w="1176"/>
          </w:tcPr>
          <w:p>
            <w:r>
              <w:rPr>
                <w:sz w:val="18"/>
              </w:rPr>
              <w:t>4</w:t>
            </w:r>
          </w:p>
        </w:tc>
        <w:tc>
          <w:tcPr>
            <w:tcW w:type="dxa" w:w="1176"/>
          </w:tcPr>
          <w:p>
            <w:r>
              <w:rPr>
                <w:sz w:val="18"/>
              </w:rPr>
              <w:t>4+0</w:t>
            </w:r>
          </w:p>
        </w:tc>
        <w:tc>
          <w:tcPr>
            <w:tcW w:type="dxa" w:w="1176"/>
          </w:tcPr>
          <w:p>
            <w:r>
              <w:rPr>
                <w:sz w:val="18"/>
              </w:rPr>
              <w:t>1.154</w:t>
            </w:r>
          </w:p>
        </w:tc>
        <w:tc>
          <w:tcPr>
            <w:tcW w:type="dxa" w:w="1176"/>
          </w:tcPr>
          <w:p>
            <w:r>
              <w:rPr>
                <w:sz w:val="18"/>
              </w:rPr>
              <w:t>0</w:t>
            </w:r>
          </w:p>
        </w:tc>
        <w:tc>
          <w:tcPr>
            <w:tcW w:type="dxa" w:w="1176"/>
          </w:tcPr>
          <w:p>
            <w:r>
              <w:rPr>
                <w:sz w:val="18"/>
              </w:rPr>
              <w:t>0,0%</w:t>
            </w:r>
          </w:p>
        </w:tc>
        <w:tc>
          <w:tcPr>
            <w:tcW w:type="dxa" w:w="1176"/>
          </w:tcPr>
          <w:p>
            <w:r>
              <w:rPr>
                <w:sz w:val="18"/>
              </w:rPr>
              <w:t>1.154</w:t>
            </w:r>
          </w:p>
        </w:tc>
        <w:tc>
          <w:tcPr>
            <w:tcW w:type="dxa" w:w="1176"/>
          </w:tcPr>
          <w:p>
            <w:r>
              <w:rPr>
                <w:sz w:val="18"/>
              </w:rPr>
              <w:t>10.442</w:t>
            </w:r>
          </w:p>
        </w:tc>
        <w:tc>
          <w:tcPr>
            <w:tcW w:type="dxa" w:w="1176"/>
          </w:tcPr>
          <w:p>
            <w:r>
              <w:rPr>
                <w:sz w:val="18"/>
              </w:rPr>
              <w:t>0</w:t>
            </w:r>
          </w:p>
        </w:tc>
        <w:tc>
          <w:tcPr>
            <w:tcW w:type="dxa" w:w="1176"/>
          </w:tcPr>
          <w:p>
            <w:r>
              <w:rPr>
                <w:sz w:val="18"/>
              </w:rPr>
              <w:t>9,0</w:t>
            </w:r>
          </w:p>
        </w:tc>
        <w:tc>
          <w:tcPr>
            <w:tcW w:type="dxa" w:w="1176"/>
          </w:tcPr>
          <w:p>
            <w:r>
              <w:rPr>
                <w:sz w:val="18"/>
              </w:rPr>
              <w:t>6,4–8,2</w:t>
            </w:r>
          </w:p>
        </w:tc>
      </w:tr>
      <w:tr>
        <w:tc>
          <w:tcPr>
            <w:tcW w:type="dxa" w:w="1176"/>
          </w:tcPr>
          <w:p>
            <w:r>
              <w:rPr>
                <w:sz w:val="18"/>
              </w:rPr>
              <w:t>50</w:t>
            </w:r>
          </w:p>
        </w:tc>
        <w:tc>
          <w:tcPr>
            <w:tcW w:type="dxa" w:w="1176"/>
          </w:tcPr>
          <w:p>
            <w:r>
              <w:rPr>
                <w:sz w:val="18"/>
              </w:rPr>
              <w:t>Flor Pan</w:t>
            </w:r>
          </w:p>
        </w:tc>
        <w:tc>
          <w:tcPr>
            <w:tcW w:type="dxa" w:w="1176"/>
          </w:tcPr>
          <w:p>
            <w:r>
              <w:rPr>
                <w:sz w:val="18"/>
              </w:rPr>
              <w:t>7</w:t>
            </w:r>
          </w:p>
        </w:tc>
        <w:tc>
          <w:tcPr>
            <w:tcW w:type="dxa" w:w="1176"/>
          </w:tcPr>
          <w:p>
            <w:r>
              <w:rPr>
                <w:sz w:val="18"/>
              </w:rPr>
              <w:t>9+0</w:t>
            </w:r>
          </w:p>
        </w:tc>
        <w:tc>
          <w:tcPr>
            <w:tcW w:type="dxa" w:w="1176"/>
          </w:tcPr>
          <w:p>
            <w:r>
              <w:rPr>
                <w:sz w:val="18"/>
              </w:rPr>
              <w:t>1.809</w:t>
            </w:r>
          </w:p>
        </w:tc>
        <w:tc>
          <w:tcPr>
            <w:tcW w:type="dxa" w:w="1176"/>
          </w:tcPr>
          <w:p>
            <w:r>
              <w:rPr>
                <w:sz w:val="18"/>
              </w:rPr>
              <w:t>0</w:t>
            </w:r>
          </w:p>
        </w:tc>
        <w:tc>
          <w:tcPr>
            <w:tcW w:type="dxa" w:w="1176"/>
          </w:tcPr>
          <w:p>
            <w:r>
              <w:rPr>
                <w:sz w:val="18"/>
              </w:rPr>
              <w:t>0,0%</w:t>
            </w:r>
          </w:p>
        </w:tc>
        <w:tc>
          <w:tcPr>
            <w:tcW w:type="dxa" w:w="1176"/>
          </w:tcPr>
          <w:p>
            <w:r>
              <w:rPr>
                <w:sz w:val="18"/>
              </w:rPr>
              <w:t>1.809</w:t>
            </w:r>
          </w:p>
        </w:tc>
        <w:tc>
          <w:tcPr>
            <w:tcW w:type="dxa" w:w="1176"/>
          </w:tcPr>
          <w:p>
            <w:r>
              <w:rPr>
                <w:sz w:val="18"/>
              </w:rPr>
              <w:t>19.900</w:t>
            </w:r>
          </w:p>
        </w:tc>
        <w:tc>
          <w:tcPr>
            <w:tcW w:type="dxa" w:w="1176"/>
          </w:tcPr>
          <w:p>
            <w:r>
              <w:rPr>
                <w:sz w:val="18"/>
              </w:rPr>
              <w:t>0</w:t>
            </w:r>
          </w:p>
        </w:tc>
        <w:tc>
          <w:tcPr>
            <w:tcW w:type="dxa" w:w="1176"/>
          </w:tcPr>
          <w:p>
            <w:r>
              <w:rPr>
                <w:sz w:val="18"/>
              </w:rPr>
              <w:t>11,0</w:t>
            </w:r>
          </w:p>
        </w:tc>
        <w:tc>
          <w:tcPr>
            <w:tcW w:type="dxa" w:w="1176"/>
          </w:tcPr>
          <w:p>
            <w:r>
              <w:rPr>
                <w:sz w:val="18"/>
              </w:rPr>
              <w:t>12,0–15,2</w:t>
            </w:r>
          </w:p>
        </w:tc>
      </w:tr>
      <w:tr>
        <w:tc>
          <w:tcPr>
            <w:tcW w:type="dxa" w:w="1176"/>
          </w:tcPr>
          <w:p>
            <w:r>
              <w:rPr>
                <w:sz w:val="18"/>
              </w:rPr>
              <w:t>60</w:t>
            </w:r>
          </w:p>
        </w:tc>
        <w:tc>
          <w:tcPr>
            <w:tcW w:type="dxa" w:w="1176"/>
          </w:tcPr>
          <w:p>
            <w:r>
              <w:rPr>
                <w:sz w:val="18"/>
              </w:rPr>
              <w:t>Residencial Evidência</w:t>
            </w:r>
          </w:p>
        </w:tc>
        <w:tc>
          <w:tcPr>
            <w:tcW w:type="dxa" w:w="1176"/>
          </w:tcPr>
          <w:p>
            <w:r>
              <w:rPr>
                <w:sz w:val="18"/>
              </w:rPr>
              <w:t>22</w:t>
            </w:r>
          </w:p>
        </w:tc>
        <w:tc>
          <w:tcPr>
            <w:tcW w:type="dxa" w:w="1176"/>
          </w:tcPr>
          <w:p>
            <w:r>
              <w:rPr>
                <w:sz w:val="18"/>
              </w:rPr>
              <w:t>22+0</w:t>
            </w:r>
          </w:p>
        </w:tc>
        <w:tc>
          <w:tcPr>
            <w:tcW w:type="dxa" w:w="1176"/>
          </w:tcPr>
          <w:p>
            <w:r>
              <w:rPr>
                <w:sz w:val="18"/>
              </w:rPr>
              <w:t>3.885</w:t>
            </w:r>
          </w:p>
        </w:tc>
        <w:tc>
          <w:tcPr>
            <w:tcW w:type="dxa" w:w="1176"/>
          </w:tcPr>
          <w:p>
            <w:r>
              <w:rPr>
                <w:sz w:val="18"/>
              </w:rPr>
              <w:t>0</w:t>
            </w:r>
          </w:p>
        </w:tc>
        <w:tc>
          <w:tcPr>
            <w:tcW w:type="dxa" w:w="1176"/>
          </w:tcPr>
          <w:p>
            <w:r>
              <w:rPr>
                <w:sz w:val="18"/>
              </w:rPr>
              <w:t>0,0%</w:t>
            </w:r>
          </w:p>
        </w:tc>
        <w:tc>
          <w:tcPr>
            <w:tcW w:type="dxa" w:w="1176"/>
          </w:tcPr>
          <w:p>
            <w:r>
              <w:rPr>
                <w:sz w:val="18"/>
              </w:rPr>
              <w:t>3.885</w:t>
            </w:r>
          </w:p>
        </w:tc>
        <w:tc>
          <w:tcPr>
            <w:tcW w:type="dxa" w:w="1176"/>
          </w:tcPr>
          <w:p>
            <w:r>
              <w:rPr>
                <w:sz w:val="18"/>
              </w:rPr>
              <w:t>31.083</w:t>
            </w:r>
          </w:p>
        </w:tc>
        <w:tc>
          <w:tcPr>
            <w:tcW w:type="dxa" w:w="1176"/>
          </w:tcPr>
          <w:p>
            <w:r>
              <w:rPr>
                <w:sz w:val="18"/>
              </w:rPr>
              <w:t>0</w:t>
            </w:r>
          </w:p>
        </w:tc>
        <w:tc>
          <w:tcPr>
            <w:tcW w:type="dxa" w:w="1176"/>
          </w:tcPr>
          <w:p>
            <w:r>
              <w:rPr>
                <w:sz w:val="18"/>
              </w:rPr>
              <w:t>8,0</w:t>
            </w:r>
          </w:p>
        </w:tc>
        <w:tc>
          <w:tcPr>
            <w:tcW w:type="dxa" w:w="1176"/>
          </w:tcPr>
          <w:p>
            <w:r>
              <w:rPr>
                <w:sz w:val="18"/>
              </w:rPr>
              <w:t>18,9–23,9</w:t>
            </w:r>
          </w:p>
        </w:tc>
      </w:tr>
      <w:tr>
        <w:tc>
          <w:tcPr>
            <w:tcW w:type="dxa" w:w="1176"/>
          </w:tcPr>
          <w:p>
            <w:r>
              <w:rPr>
                <w:sz w:val="18"/>
              </w:rPr>
              <w:t>70</w:t>
            </w:r>
          </w:p>
        </w:tc>
        <w:tc>
          <w:tcPr>
            <w:tcW w:type="dxa" w:w="1176"/>
          </w:tcPr>
          <w:p>
            <w:r>
              <w:rPr>
                <w:sz w:val="18"/>
              </w:rPr>
              <w:t>Pontal de Guriri</w:t>
            </w:r>
          </w:p>
        </w:tc>
        <w:tc>
          <w:tcPr>
            <w:tcW w:type="dxa" w:w="1176"/>
          </w:tcPr>
          <w:p>
            <w:r>
              <w:rPr>
                <w:sz w:val="18"/>
              </w:rPr>
              <w:t>17</w:t>
            </w:r>
          </w:p>
        </w:tc>
        <w:tc>
          <w:tcPr>
            <w:tcW w:type="dxa" w:w="1176"/>
          </w:tcPr>
          <w:p>
            <w:r>
              <w:rPr>
                <w:sz w:val="18"/>
              </w:rPr>
              <w:t>28+0</w:t>
            </w:r>
          </w:p>
        </w:tc>
        <w:tc>
          <w:tcPr>
            <w:tcW w:type="dxa" w:w="1176"/>
          </w:tcPr>
          <w:p>
            <w:r>
              <w:rPr>
                <w:sz w:val="18"/>
              </w:rPr>
              <w:t>6.052</w:t>
            </w:r>
          </w:p>
        </w:tc>
        <w:tc>
          <w:tcPr>
            <w:tcW w:type="dxa" w:w="1176"/>
          </w:tcPr>
          <w:p>
            <w:r>
              <w:rPr>
                <w:sz w:val="18"/>
              </w:rPr>
              <w:t>572</w:t>
            </w:r>
          </w:p>
        </w:tc>
        <w:tc>
          <w:tcPr>
            <w:tcW w:type="dxa" w:w="1176"/>
          </w:tcPr>
          <w:p>
            <w:r>
              <w:rPr>
                <w:sz w:val="18"/>
              </w:rPr>
              <w:t>9,5%</w:t>
            </w:r>
          </w:p>
        </w:tc>
        <w:tc>
          <w:tcPr>
            <w:tcW w:type="dxa" w:w="1176"/>
          </w:tcPr>
          <w:p>
            <w:r>
              <w:rPr>
                <w:sz w:val="18"/>
              </w:rPr>
              <w:t>5.480</w:t>
            </w:r>
          </w:p>
        </w:tc>
        <w:tc>
          <w:tcPr>
            <w:tcW w:type="dxa" w:w="1176"/>
          </w:tcPr>
          <w:p>
            <w:r>
              <w:rPr>
                <w:sz w:val="18"/>
              </w:rPr>
              <w:t>43.842</w:t>
            </w:r>
          </w:p>
        </w:tc>
        <w:tc>
          <w:tcPr>
            <w:tcW w:type="dxa" w:w="1176"/>
          </w:tcPr>
          <w:p>
            <w:r>
              <w:rPr>
                <w:sz w:val="18"/>
              </w:rPr>
              <w:t>0</w:t>
            </w:r>
          </w:p>
        </w:tc>
        <w:tc>
          <w:tcPr>
            <w:tcW w:type="dxa" w:w="1176"/>
          </w:tcPr>
          <w:p>
            <w:r>
              <w:rPr>
                <w:sz w:val="18"/>
              </w:rPr>
              <w:t>8,0</w:t>
            </w:r>
          </w:p>
        </w:tc>
        <w:tc>
          <w:tcPr>
            <w:tcW w:type="dxa" w:w="1176"/>
          </w:tcPr>
          <w:p>
            <w:r>
              <w:rPr>
                <w:sz w:val="18"/>
              </w:rPr>
              <w:t>27,3–34,6</w:t>
            </w:r>
          </w:p>
        </w:tc>
      </w:tr>
      <w:tr>
        <w:tc>
          <w:tcPr>
            <w:tcW w:type="dxa" w:w="1176"/>
          </w:tcPr>
          <w:p>
            <w:r>
              <w:rPr>
                <w:sz w:val="18"/>
              </w:rPr>
              <w:t>78</w:t>
            </w:r>
          </w:p>
        </w:tc>
        <w:tc>
          <w:tcPr>
            <w:tcW w:type="dxa" w:w="1176"/>
          </w:tcPr>
          <w:p>
            <w:r>
              <w:rPr>
                <w:sz w:val="18"/>
              </w:rPr>
              <w:t>João de Barro (COHAJOBA)</w:t>
            </w:r>
          </w:p>
        </w:tc>
        <w:tc>
          <w:tcPr>
            <w:tcW w:type="dxa" w:w="1176"/>
          </w:tcPr>
          <w:p>
            <w:r>
              <w:rPr>
                <w:sz w:val="18"/>
              </w:rPr>
              <w:t>10</w:t>
            </w:r>
          </w:p>
        </w:tc>
        <w:tc>
          <w:tcPr>
            <w:tcW w:type="dxa" w:w="1176"/>
          </w:tcPr>
          <w:p>
            <w:r>
              <w:rPr>
                <w:sz w:val="18"/>
              </w:rPr>
              <w:t>0+14</w:t>
            </w:r>
          </w:p>
        </w:tc>
        <w:tc>
          <w:tcPr>
            <w:tcW w:type="dxa" w:w="1176"/>
          </w:tcPr>
          <w:p>
            <w:r>
              <w:rPr>
                <w:sz w:val="18"/>
              </w:rPr>
              <w:t>1.490</w:t>
            </w:r>
          </w:p>
        </w:tc>
        <w:tc>
          <w:tcPr>
            <w:tcW w:type="dxa" w:w="1176"/>
          </w:tcPr>
          <w:p>
            <w:r>
              <w:rPr>
                <w:sz w:val="18"/>
              </w:rPr>
              <w:t>0</w:t>
            </w:r>
          </w:p>
        </w:tc>
        <w:tc>
          <w:tcPr>
            <w:tcW w:type="dxa" w:w="1176"/>
          </w:tcPr>
          <w:p>
            <w:r>
              <w:rPr>
                <w:sz w:val="18"/>
              </w:rPr>
              <w:t>0,0%</w:t>
            </w:r>
          </w:p>
        </w:tc>
        <w:tc>
          <w:tcPr>
            <w:tcW w:type="dxa" w:w="1176"/>
          </w:tcPr>
          <w:p>
            <w:r>
              <w:rPr>
                <w:sz w:val="18"/>
              </w:rPr>
              <w:t>1.490</w:t>
            </w:r>
          </w:p>
        </w:tc>
        <w:tc>
          <w:tcPr>
            <w:tcW w:type="dxa" w:w="1176"/>
          </w:tcPr>
          <w:p>
            <w:r>
              <w:rPr>
                <w:sz w:val="18"/>
              </w:rPr>
              <w:t>11.920</w:t>
            </w:r>
          </w:p>
        </w:tc>
        <w:tc>
          <w:tcPr>
            <w:tcW w:type="dxa" w:w="1176"/>
          </w:tcPr>
          <w:p>
            <w:r>
              <w:rPr>
                <w:sz w:val="18"/>
              </w:rPr>
              <w:t>1.490</w:t>
            </w:r>
          </w:p>
        </w:tc>
        <w:tc>
          <w:tcPr>
            <w:tcW w:type="dxa" w:w="1176"/>
          </w:tcPr>
          <w:p>
            <w:r>
              <w:rPr>
                <w:sz w:val="18"/>
              </w:rPr>
              <w:t>8,0</w:t>
            </w:r>
          </w:p>
        </w:tc>
        <w:tc>
          <w:tcPr>
            <w:tcW w:type="dxa" w:w="1176"/>
          </w:tcPr>
          <w:p>
            <w:r>
              <w:rPr>
                <w:sz w:val="18"/>
              </w:rPr>
              <w:t>7,0–8,8</w:t>
            </w:r>
          </w:p>
        </w:tc>
      </w:tr>
      <w:tr>
        <w:tc>
          <w:tcPr>
            <w:tcW w:type="dxa" w:w="1176"/>
          </w:tcPr>
          <w:p>
            <w:r>
              <w:rPr>
                <w:sz w:val="18"/>
              </w:rPr>
              <w:t>80</w:t>
            </w:r>
          </w:p>
        </w:tc>
        <w:tc>
          <w:tcPr>
            <w:tcW w:type="dxa" w:w="1176"/>
          </w:tcPr>
          <w:p>
            <w:r>
              <w:rPr>
                <w:sz w:val="18"/>
              </w:rPr>
              <w:t>Soma Cevolani (Golden Guriri)</w:t>
            </w:r>
          </w:p>
        </w:tc>
        <w:tc>
          <w:tcPr>
            <w:tcW w:type="dxa" w:w="1176"/>
          </w:tcPr>
          <w:p>
            <w:r>
              <w:rPr>
                <w:sz w:val="18"/>
              </w:rPr>
              <w:t>8</w:t>
            </w:r>
          </w:p>
        </w:tc>
        <w:tc>
          <w:tcPr>
            <w:tcW w:type="dxa" w:w="1176"/>
          </w:tcPr>
          <w:p>
            <w:r>
              <w:rPr>
                <w:sz w:val="18"/>
              </w:rPr>
              <w:t>0+32</w:t>
            </w:r>
          </w:p>
        </w:tc>
        <w:tc>
          <w:tcPr>
            <w:tcW w:type="dxa" w:w="1176"/>
          </w:tcPr>
          <w:p>
            <w:r>
              <w:rPr>
                <w:sz w:val="18"/>
              </w:rPr>
              <w:t>4.952</w:t>
            </w:r>
          </w:p>
        </w:tc>
        <w:tc>
          <w:tcPr>
            <w:tcW w:type="dxa" w:w="1176"/>
          </w:tcPr>
          <w:p>
            <w:r>
              <w:rPr>
                <w:sz w:val="18"/>
              </w:rPr>
              <w:t>4.952</w:t>
            </w:r>
          </w:p>
        </w:tc>
        <w:tc>
          <w:tcPr>
            <w:tcW w:type="dxa" w:w="1176"/>
          </w:tcPr>
          <w:p>
            <w:r>
              <w:rPr>
                <w:sz w:val="18"/>
              </w:rPr>
              <w:t>100,0%</w:t>
            </w:r>
          </w:p>
        </w:tc>
        <w:tc>
          <w:tcPr>
            <w:tcW w:type="dxa" w:w="1176"/>
          </w:tcPr>
          <w:p>
            <w:r>
              <w:rPr>
                <w:sz w:val="18"/>
              </w:rPr>
              <w:t>0</w:t>
            </w:r>
          </w:p>
        </w:tc>
        <w:tc>
          <w:tcPr>
            <w:tcW w:type="dxa" w:w="1176"/>
          </w:tcPr>
          <w:p>
            <w:r>
              <w:rPr>
                <w:sz w:val="18"/>
              </w:rPr>
              <w:t>0</w:t>
            </w:r>
          </w:p>
        </w:tc>
        <w:tc>
          <w:tcPr>
            <w:tcW w:type="dxa" w:w="1176"/>
          </w:tcPr>
          <w:p>
            <w:r>
              <w:rPr>
                <w:sz w:val="18"/>
              </w:rPr>
              <w:t>4.952</w:t>
            </w:r>
          </w:p>
        </w:tc>
        <w:tc>
          <w:tcPr>
            <w:tcW w:type="dxa" w:w="1176"/>
          </w:tcPr>
          <w:p>
            <w:r>
              <w:rPr>
                <w:sz w:val="18"/>
              </w:rPr>
              <w:t>—</w:t>
            </w:r>
          </w:p>
        </w:tc>
        <w:tc>
          <w:tcPr>
            <w:tcW w:type="dxa" w:w="1176"/>
          </w:tcPr>
          <w:p>
            <w:r>
              <w:rPr>
                <w:sz w:val="18"/>
              </w:rPr>
              <w:t>0,0–0,0</w:t>
            </w:r>
          </w:p>
        </w:tc>
      </w:tr>
      <w:tr>
        <w:tc>
          <w:tcPr>
            <w:tcW w:type="dxa" w:w="1176"/>
          </w:tcPr>
          <w:p>
            <w:r>
              <w:rPr>
                <w:sz w:val="18"/>
              </w:rPr>
              <w:t>84</w:t>
            </w:r>
          </w:p>
        </w:tc>
        <w:tc>
          <w:tcPr>
            <w:tcW w:type="dxa" w:w="1176"/>
          </w:tcPr>
          <w:p>
            <w:r>
              <w:rPr>
                <w:sz w:val="18"/>
              </w:rPr>
              <w:t>Pontal de Guriri II</w:t>
            </w:r>
          </w:p>
        </w:tc>
        <w:tc>
          <w:tcPr>
            <w:tcW w:type="dxa" w:w="1176"/>
          </w:tcPr>
          <w:p>
            <w:r>
              <w:rPr>
                <w:sz w:val="18"/>
              </w:rPr>
              <w:t>5</w:t>
            </w:r>
          </w:p>
        </w:tc>
        <w:tc>
          <w:tcPr>
            <w:tcW w:type="dxa" w:w="1176"/>
          </w:tcPr>
          <w:p>
            <w:r>
              <w:rPr>
                <w:sz w:val="18"/>
              </w:rPr>
              <w:t>0+14</w:t>
            </w:r>
          </w:p>
        </w:tc>
        <w:tc>
          <w:tcPr>
            <w:tcW w:type="dxa" w:w="1176"/>
          </w:tcPr>
          <w:p>
            <w:r>
              <w:rPr>
                <w:sz w:val="18"/>
              </w:rPr>
              <w:t>1.073</w:t>
            </w:r>
          </w:p>
        </w:tc>
        <w:tc>
          <w:tcPr>
            <w:tcW w:type="dxa" w:w="1176"/>
          </w:tcPr>
          <w:p>
            <w:r>
              <w:rPr>
                <w:sz w:val="18"/>
              </w:rPr>
              <w:t>0</w:t>
            </w:r>
          </w:p>
        </w:tc>
        <w:tc>
          <w:tcPr>
            <w:tcW w:type="dxa" w:w="1176"/>
          </w:tcPr>
          <w:p>
            <w:r>
              <w:rPr>
                <w:sz w:val="18"/>
              </w:rPr>
              <w:t>0,0%</w:t>
            </w:r>
          </w:p>
        </w:tc>
        <w:tc>
          <w:tcPr>
            <w:tcW w:type="dxa" w:w="1176"/>
          </w:tcPr>
          <w:p>
            <w:r>
              <w:rPr>
                <w:sz w:val="18"/>
              </w:rPr>
              <w:t>1.073</w:t>
            </w:r>
          </w:p>
        </w:tc>
        <w:tc>
          <w:tcPr>
            <w:tcW w:type="dxa" w:w="1176"/>
          </w:tcPr>
          <w:p>
            <w:r>
              <w:rPr>
                <w:sz w:val="18"/>
              </w:rPr>
              <w:t>9.855</w:t>
            </w:r>
          </w:p>
        </w:tc>
        <w:tc>
          <w:tcPr>
            <w:tcW w:type="dxa" w:w="1176"/>
          </w:tcPr>
          <w:p>
            <w:r>
              <w:rPr>
                <w:sz w:val="18"/>
              </w:rPr>
              <w:t>1.073</w:t>
            </w:r>
          </w:p>
        </w:tc>
        <w:tc>
          <w:tcPr>
            <w:tcW w:type="dxa" w:w="1176"/>
          </w:tcPr>
          <w:p>
            <w:r>
              <w:rPr>
                <w:sz w:val="18"/>
              </w:rPr>
              <w:t>9,2</w:t>
            </w:r>
          </w:p>
        </w:tc>
        <w:tc>
          <w:tcPr>
            <w:tcW w:type="dxa" w:w="1176"/>
          </w:tcPr>
          <w:p>
            <w:r>
              <w:rPr>
                <w:sz w:val="18"/>
              </w:rPr>
              <w:t>6,0–7,6</w:t>
            </w:r>
          </w:p>
        </w:tc>
      </w:tr>
      <w:tr>
        <w:tc>
          <w:tcPr>
            <w:tcW w:type="dxa" w:w="1176"/>
          </w:tcPr>
          <w:p>
            <w:r>
              <w:rPr>
                <w:sz w:val="18"/>
              </w:rPr>
            </w:r>
          </w:p>
        </w:tc>
        <w:tc>
          <w:tcPr>
            <w:tcW w:type="dxa" w:w="1176"/>
          </w:tcPr>
          <w:p>
            <w:r>
              <w:rPr>
                <w:sz w:val="18"/>
              </w:rPr>
              <w:t>TOTAL — GURIRI</w:t>
            </w:r>
          </w:p>
        </w:tc>
        <w:tc>
          <w:tcPr>
            <w:tcW w:type="dxa" w:w="1176"/>
          </w:tcPr>
          <w:p>
            <w:r>
              <w:rPr>
                <w:sz w:val="18"/>
              </w:rPr>
              <w:t>437</w:t>
            </w:r>
          </w:p>
        </w:tc>
        <w:tc>
          <w:tcPr>
            <w:tcW w:type="dxa" w:w="1176"/>
          </w:tcPr>
          <w:p>
            <w:r>
              <w:rPr>
                <w:sz w:val="18"/>
              </w:rPr>
              <w:t>496+141</w:t>
            </w:r>
          </w:p>
        </w:tc>
        <w:tc>
          <w:tcPr>
            <w:tcW w:type="dxa" w:w="1176"/>
          </w:tcPr>
          <w:p>
            <w:r>
              <w:rPr>
                <w:sz w:val="18"/>
              </w:rPr>
              <w:t>193.375</w:t>
            </w:r>
          </w:p>
        </w:tc>
        <w:tc>
          <w:tcPr>
            <w:tcW w:type="dxa" w:w="1176"/>
          </w:tcPr>
          <w:p>
            <w:r>
              <w:rPr>
                <w:sz w:val="18"/>
              </w:rPr>
              <w:t>51.379</w:t>
            </w:r>
          </w:p>
        </w:tc>
        <w:tc>
          <w:tcPr>
            <w:tcW w:type="dxa" w:w="1176"/>
          </w:tcPr>
          <w:p>
            <w:r>
              <w:rPr>
                <w:sz w:val="18"/>
              </w:rPr>
              <w:t>26,6%</w:t>
            </w:r>
          </w:p>
        </w:tc>
        <w:tc>
          <w:tcPr>
            <w:tcW w:type="dxa" w:w="1176"/>
          </w:tcPr>
          <w:p>
            <w:r>
              <w:rPr>
                <w:sz w:val="18"/>
              </w:rPr>
              <w:t>141.996</w:t>
            </w:r>
          </w:p>
        </w:tc>
        <w:tc>
          <w:tcPr>
            <w:tcW w:type="dxa" w:w="1176"/>
          </w:tcPr>
          <w:p>
            <w:r>
              <w:rPr>
                <w:sz w:val="18"/>
              </w:rPr>
              <w:t>1.216.547</w:t>
            </w:r>
          </w:p>
        </w:tc>
        <w:tc>
          <w:tcPr>
            <w:tcW w:type="dxa" w:w="1176"/>
          </w:tcPr>
          <w:p>
            <w:r>
              <w:rPr>
                <w:sz w:val="18"/>
              </w:rPr>
              <w:t>56.979</w:t>
            </w:r>
          </w:p>
        </w:tc>
        <w:tc>
          <w:tcPr>
            <w:tcW w:type="dxa" w:w="1176"/>
          </w:tcPr>
          <w:p>
            <w:r>
              <w:rPr>
                <w:sz w:val="18"/>
              </w:rPr>
              <w:t>8,6</w:t>
            </w:r>
          </w:p>
        </w:tc>
        <w:tc>
          <w:tcPr>
            <w:tcW w:type="dxa" w:w="1176"/>
          </w:tcPr>
          <w:p>
            <w:r>
              <w:rPr>
                <w:sz w:val="18"/>
              </w:rPr>
              <w:t>751–951</w:t>
            </w:r>
          </w:p>
        </w:tc>
      </w:tr>
    </w:tbl>
    <w:p>
      <w:pPr>
        <w:spacing w:after="120"/>
      </w:pPr>
      <w:r>
        <w:rPr>
          <w:b w:val="0"/>
          <w:i w:val="0"/>
          <w:color w:val="595959"/>
          <w:sz w:val="17"/>
        </w:rPr>
        <w:t>“Pontos” = os creditados a vias nomeadas mais os da malha física do loteamento (§3.1); somam 637 no balneário. “Largura média” = média ponderada pela extensão faltante, derivada da caixa de via das plantas. “Só de planta (m)” = metragem de via prevista em projeto sem traçado medido em imagem: a existência física deve ser confirmada em campo antes de orçar — é a parcela que o cenário conservador do §3.4 desconta integralmente. “Produtos de britagem” = área de pista faltante × 0,586–0,738 t/m² mais área de calçada faltante × 0,069–0,096 t/m² (banda composicional do Anexo B). A coluna soma exatamente o total do §3.3, por construção.</w:t>
      </w:r>
    </w:p>
    <w:p>
      <w:pPr>
        <w:spacing w:after="120"/>
      </w:pPr>
      <w:r>
        <w:rPr>
          <w:b w:val="0"/>
          <w:i w:val="0"/>
          <w:sz w:val="19"/>
        </w:rPr>
        <w:t>Leitura comercial em uma linha: cinco loteamentos — Bosque da Praia, Jardim das Caiçaras, Parque Residencial Oitizeiro, Parque dos Albatrozes e Verão Vermelho — concentram 64% de tudo o que falta pavimentar no balneário.</w:t>
      </w:r>
    </w:p>
    <w:p>
      <w:pPr>
        <w:spacing w:after="120" w:before="200"/>
      </w:pPr>
      <w:r>
        <w:rPr>
          <w:b/>
          <w:i w:val="0"/>
          <w:sz w:val="26"/>
        </w:rPr>
        <w:t>Anexo A-4 — a auditoria de pontos, aberta por loteamento</w:t>
      </w:r>
    </w:p>
    <w:p>
      <w:pPr>
        <w:spacing w:after="120"/>
      </w:pPr>
      <w:r>
        <w:rPr>
          <w:b w:val="0"/>
          <w:i w:val="0"/>
          <w:sz w:val="19"/>
        </w:rPr>
        <w:t>A planilha-fonte lista os 637 pontos um a um, cada um com id, loteamento, via, latitude, longitude, fonte, data da imagem, superfície classificada, existência de calçada e extensão representada. O quadro abaixo é o extrato por loteamento — o suficiente para o analista localizar qualquer ponto na fonte e refazer a leitura no Google Street View ou no satélite.</w:t>
      </w:r>
    </w:p>
    <w:tbl>
      <w:tblPr>
        <w:tblStyle w:val="TableGrid"/>
        <w:tblW w:type="auto" w:w="0"/>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68"/>
          </w:tcPr>
          <w:p>
            <w:r>
              <w:rPr>
                <w:b/>
                <w:sz w:val="18"/>
              </w:rPr>
              <w:t>Nº</w:t>
            </w:r>
          </w:p>
        </w:tc>
        <w:tc>
          <w:tcPr>
            <w:tcW w:type="dxa" w:w="1568"/>
          </w:tcPr>
          <w:p>
            <w:r>
              <w:rPr>
                <w:b/>
                <w:sz w:val="18"/>
              </w:rPr>
              <w:t>Loteamento</w:t>
            </w:r>
          </w:p>
        </w:tc>
        <w:tc>
          <w:tcPr>
            <w:tcW w:type="dxa" w:w="1568"/>
          </w:tcPr>
          <w:p>
            <w:r>
              <w:rPr>
                <w:b/>
                <w:sz w:val="18"/>
              </w:rPr>
              <w:t>Vias nomeadas</w:t>
            </w:r>
          </w:p>
        </w:tc>
        <w:tc>
          <w:tcPr>
            <w:tcW w:type="dxa" w:w="1568"/>
          </w:tcPr>
          <w:p>
            <w:r>
              <w:rPr>
                <w:b/>
                <w:sz w:val="18"/>
              </w:rPr>
              <w:t>Malha física</w:t>
            </w:r>
          </w:p>
        </w:tc>
        <w:tc>
          <w:tcPr>
            <w:tcW w:type="dxa" w:w="1568"/>
          </w:tcPr>
          <w:p>
            <w:r>
              <w:rPr>
                <w:b/>
                <w:sz w:val="18"/>
              </w:rPr>
              <w:t>Total</w:t>
            </w:r>
          </w:p>
        </w:tc>
        <w:tc>
          <w:tcPr>
            <w:tcW w:type="dxa" w:w="1568"/>
          </w:tcPr>
          <w:p>
            <w:r>
              <w:rPr>
                <w:b/>
                <w:sz w:val="18"/>
              </w:rPr>
              <w:t>Street View</w:t>
            </w:r>
          </w:p>
        </w:tc>
        <w:tc>
          <w:tcPr>
            <w:tcW w:type="dxa" w:w="1568"/>
          </w:tcPr>
          <w:p>
            <w:r>
              <w:rPr>
                <w:b/>
                <w:sz w:val="18"/>
              </w:rPr>
              <w:t>Satélite</w:t>
            </w:r>
          </w:p>
        </w:tc>
        <w:tc>
          <w:tcPr>
            <w:tcW w:type="dxa" w:w="1568"/>
          </w:tcPr>
          <w:p>
            <w:r>
              <w:rPr>
                <w:b/>
                <w:sz w:val="18"/>
              </w:rPr>
              <w:t>Datas das imagens</w:t>
            </w:r>
          </w:p>
        </w:tc>
        <w:tc>
          <w:tcPr>
            <w:tcW w:type="dxa" w:w="1568"/>
          </w:tcPr>
          <w:p>
            <w:r>
              <w:rPr>
                <w:b/>
                <w:sz w:val="18"/>
              </w:rPr>
              <w:t>Extensão representada (m)</w:t>
            </w:r>
          </w:p>
        </w:tc>
      </w:tr>
      <w:tr>
        <w:tc>
          <w:tcPr>
            <w:tcW w:type="dxa" w:w="1568"/>
          </w:tcPr>
          <w:p>
            <w:r>
              <w:rPr>
                <w:sz w:val="18"/>
              </w:rPr>
              <w:t>7</w:t>
            </w:r>
          </w:p>
        </w:tc>
        <w:tc>
          <w:tcPr>
            <w:tcW w:type="dxa" w:w="1568"/>
          </w:tcPr>
          <w:p>
            <w:r>
              <w:rPr>
                <w:sz w:val="18"/>
              </w:rPr>
              <w:t>Balneário de Guriri</w:t>
            </w:r>
          </w:p>
        </w:tc>
        <w:tc>
          <w:tcPr>
            <w:tcW w:type="dxa" w:w="1568"/>
          </w:tcPr>
          <w:p>
            <w:r>
              <w:rPr>
                <w:sz w:val="18"/>
              </w:rPr>
              <w:t>54</w:t>
            </w:r>
          </w:p>
        </w:tc>
        <w:tc>
          <w:tcPr>
            <w:tcW w:type="dxa" w:w="1568"/>
          </w:tcPr>
          <w:p>
            <w:r>
              <w:rPr>
                <w:sz w:val="18"/>
              </w:rPr>
              <w:t>4</w:t>
            </w:r>
          </w:p>
        </w:tc>
        <w:tc>
          <w:tcPr>
            <w:tcW w:type="dxa" w:w="1568"/>
          </w:tcPr>
          <w:p>
            <w:r>
              <w:rPr>
                <w:sz w:val="18"/>
              </w:rPr>
              <w:t>58</w:t>
            </w:r>
          </w:p>
        </w:tc>
        <w:tc>
          <w:tcPr>
            <w:tcW w:type="dxa" w:w="1568"/>
          </w:tcPr>
          <w:p>
            <w:r>
              <w:rPr>
                <w:sz w:val="18"/>
              </w:rPr>
              <w:t>57</w:t>
            </w:r>
          </w:p>
        </w:tc>
        <w:tc>
          <w:tcPr>
            <w:tcW w:type="dxa" w:w="1568"/>
          </w:tcPr>
          <w:p>
            <w:r>
              <w:rPr>
                <w:sz w:val="18"/>
              </w:rPr>
              <w:t>1</w:t>
            </w:r>
          </w:p>
        </w:tc>
        <w:tc>
          <w:tcPr>
            <w:tcW w:type="dxa" w:w="1568"/>
          </w:tcPr>
          <w:p>
            <w:r>
              <w:rPr>
                <w:sz w:val="18"/>
              </w:rPr>
              <w:t>fev/2012 a mai/2026</w:t>
            </w:r>
          </w:p>
        </w:tc>
        <w:tc>
          <w:tcPr>
            <w:tcW w:type="dxa" w:w="1568"/>
          </w:tcPr>
          <w:p>
            <w:r>
              <w:rPr>
                <w:sz w:val="18"/>
              </w:rPr>
              <w:t>16.415</w:t>
            </w:r>
          </w:p>
        </w:tc>
      </w:tr>
      <w:tr>
        <w:tc>
          <w:tcPr>
            <w:tcW w:type="dxa" w:w="1568"/>
          </w:tcPr>
          <w:p>
            <w:r>
              <w:rPr>
                <w:sz w:val="18"/>
              </w:rPr>
              <w:t>9</w:t>
            </w:r>
          </w:p>
        </w:tc>
        <w:tc>
          <w:tcPr>
            <w:tcW w:type="dxa" w:w="1568"/>
          </w:tcPr>
          <w:p>
            <w:r>
              <w:rPr>
                <w:sz w:val="18"/>
              </w:rPr>
              <w:t>Bosque da Praia</w:t>
            </w:r>
          </w:p>
        </w:tc>
        <w:tc>
          <w:tcPr>
            <w:tcW w:type="dxa" w:w="1568"/>
          </w:tcPr>
          <w:p>
            <w:r>
              <w:rPr>
                <w:sz w:val="18"/>
              </w:rPr>
              <w:t>3</w:t>
            </w:r>
          </w:p>
        </w:tc>
        <w:tc>
          <w:tcPr>
            <w:tcW w:type="dxa" w:w="1568"/>
          </w:tcPr>
          <w:p>
            <w:r>
              <w:rPr>
                <w:sz w:val="18"/>
              </w:rPr>
              <w:t>24</w:t>
            </w:r>
          </w:p>
        </w:tc>
        <w:tc>
          <w:tcPr>
            <w:tcW w:type="dxa" w:w="1568"/>
          </w:tcPr>
          <w:p>
            <w:r>
              <w:rPr>
                <w:sz w:val="18"/>
              </w:rPr>
              <w:t>27</w:t>
            </w:r>
          </w:p>
        </w:tc>
        <w:tc>
          <w:tcPr>
            <w:tcW w:type="dxa" w:w="1568"/>
          </w:tcPr>
          <w:p>
            <w:r>
              <w:rPr>
                <w:sz w:val="18"/>
              </w:rPr>
              <w:t>12</w:t>
            </w:r>
          </w:p>
        </w:tc>
        <w:tc>
          <w:tcPr>
            <w:tcW w:type="dxa" w:w="1568"/>
          </w:tcPr>
          <w:p>
            <w:r>
              <w:rPr>
                <w:sz w:val="18"/>
              </w:rPr>
              <w:t>15</w:t>
            </w:r>
          </w:p>
        </w:tc>
        <w:tc>
          <w:tcPr>
            <w:tcW w:type="dxa" w:w="1568"/>
          </w:tcPr>
          <w:p>
            <w:r>
              <w:rPr>
                <w:sz w:val="18"/>
              </w:rPr>
              <w:t>dez/2023</w:t>
            </w:r>
          </w:p>
        </w:tc>
        <w:tc>
          <w:tcPr>
            <w:tcW w:type="dxa" w:w="1568"/>
          </w:tcPr>
          <w:p>
            <w:r>
              <w:rPr>
                <w:sz w:val="18"/>
              </w:rPr>
              <w:t>5.780</w:t>
            </w:r>
          </w:p>
        </w:tc>
      </w:tr>
      <w:tr>
        <w:tc>
          <w:tcPr>
            <w:tcW w:type="dxa" w:w="1568"/>
          </w:tcPr>
          <w:p>
            <w:r>
              <w:rPr>
                <w:sz w:val="18"/>
              </w:rPr>
              <w:t>10</w:t>
            </w:r>
          </w:p>
        </w:tc>
        <w:tc>
          <w:tcPr>
            <w:tcW w:type="dxa" w:w="1568"/>
          </w:tcPr>
          <w:p>
            <w:r>
              <w:rPr>
                <w:sz w:val="18"/>
              </w:rPr>
              <w:t>Parque dos Albatrozes</w:t>
            </w:r>
          </w:p>
        </w:tc>
        <w:tc>
          <w:tcPr>
            <w:tcW w:type="dxa" w:w="1568"/>
          </w:tcPr>
          <w:p>
            <w:r>
              <w:rPr>
                <w:sz w:val="18"/>
              </w:rPr>
              <w:t>54</w:t>
            </w:r>
          </w:p>
        </w:tc>
        <w:tc>
          <w:tcPr>
            <w:tcW w:type="dxa" w:w="1568"/>
          </w:tcPr>
          <w:p>
            <w:r>
              <w:rPr>
                <w:sz w:val="18"/>
              </w:rPr>
              <w:t>0</w:t>
            </w:r>
          </w:p>
        </w:tc>
        <w:tc>
          <w:tcPr>
            <w:tcW w:type="dxa" w:w="1568"/>
          </w:tcPr>
          <w:p>
            <w:r>
              <w:rPr>
                <w:sz w:val="18"/>
              </w:rPr>
              <w:t>54</w:t>
            </w:r>
          </w:p>
        </w:tc>
        <w:tc>
          <w:tcPr>
            <w:tcW w:type="dxa" w:w="1568"/>
          </w:tcPr>
          <w:p>
            <w:r>
              <w:rPr>
                <w:sz w:val="18"/>
              </w:rPr>
              <w:t>54</w:t>
            </w:r>
          </w:p>
        </w:tc>
        <w:tc>
          <w:tcPr>
            <w:tcW w:type="dxa" w:w="1568"/>
          </w:tcPr>
          <w:p>
            <w:r>
              <w:rPr>
                <w:sz w:val="18"/>
              </w:rPr>
              <w:t>0</w:t>
            </w:r>
          </w:p>
        </w:tc>
        <w:tc>
          <w:tcPr>
            <w:tcW w:type="dxa" w:w="1568"/>
          </w:tcPr>
          <w:p>
            <w:r>
              <w:rPr>
                <w:sz w:val="18"/>
              </w:rPr>
              <w:t>fev/2012 a mai/2026</w:t>
            </w:r>
          </w:p>
        </w:tc>
        <w:tc>
          <w:tcPr>
            <w:tcW w:type="dxa" w:w="1568"/>
          </w:tcPr>
          <w:p>
            <w:r>
              <w:rPr>
                <w:sz w:val="18"/>
              </w:rPr>
              <w:t>16.404</w:t>
            </w:r>
          </w:p>
        </w:tc>
      </w:tr>
      <w:tr>
        <w:tc>
          <w:tcPr>
            <w:tcW w:type="dxa" w:w="1568"/>
          </w:tcPr>
          <w:p>
            <w:r>
              <w:rPr>
                <w:sz w:val="18"/>
              </w:rPr>
              <w:t>13</w:t>
            </w:r>
          </w:p>
        </w:tc>
        <w:tc>
          <w:tcPr>
            <w:tcW w:type="dxa" w:w="1568"/>
          </w:tcPr>
          <w:p>
            <w:r>
              <w:rPr>
                <w:sz w:val="18"/>
              </w:rPr>
              <w:t>Praia de Guriri</w:t>
            </w:r>
          </w:p>
        </w:tc>
        <w:tc>
          <w:tcPr>
            <w:tcW w:type="dxa" w:w="1568"/>
          </w:tcPr>
          <w:p>
            <w:r>
              <w:rPr>
                <w:sz w:val="18"/>
              </w:rPr>
              <w:t>57</w:t>
            </w:r>
          </w:p>
        </w:tc>
        <w:tc>
          <w:tcPr>
            <w:tcW w:type="dxa" w:w="1568"/>
          </w:tcPr>
          <w:p>
            <w:r>
              <w:rPr>
                <w:sz w:val="18"/>
              </w:rPr>
              <w:t>0</w:t>
            </w:r>
          </w:p>
        </w:tc>
        <w:tc>
          <w:tcPr>
            <w:tcW w:type="dxa" w:w="1568"/>
          </w:tcPr>
          <w:p>
            <w:r>
              <w:rPr>
                <w:sz w:val="18"/>
              </w:rPr>
              <w:t>57</w:t>
            </w:r>
          </w:p>
        </w:tc>
        <w:tc>
          <w:tcPr>
            <w:tcW w:type="dxa" w:w="1568"/>
          </w:tcPr>
          <w:p>
            <w:r>
              <w:rPr>
                <w:sz w:val="18"/>
              </w:rPr>
              <w:t>57</w:t>
            </w:r>
          </w:p>
        </w:tc>
        <w:tc>
          <w:tcPr>
            <w:tcW w:type="dxa" w:w="1568"/>
          </w:tcPr>
          <w:p>
            <w:r>
              <w:rPr>
                <w:sz w:val="18"/>
              </w:rPr>
              <w:t>0</w:t>
            </w:r>
          </w:p>
        </w:tc>
        <w:tc>
          <w:tcPr>
            <w:tcW w:type="dxa" w:w="1568"/>
          </w:tcPr>
          <w:p>
            <w:r>
              <w:rPr>
                <w:sz w:val="18"/>
              </w:rPr>
              <w:t>fev/2012 a mai/2026</w:t>
            </w:r>
          </w:p>
        </w:tc>
        <w:tc>
          <w:tcPr>
            <w:tcW w:type="dxa" w:w="1568"/>
          </w:tcPr>
          <w:p>
            <w:r>
              <w:rPr>
                <w:sz w:val="18"/>
              </w:rPr>
              <w:t>13.271</w:t>
            </w:r>
          </w:p>
        </w:tc>
      </w:tr>
      <w:tr>
        <w:tc>
          <w:tcPr>
            <w:tcW w:type="dxa" w:w="1568"/>
          </w:tcPr>
          <w:p>
            <w:r>
              <w:rPr>
                <w:sz w:val="18"/>
              </w:rPr>
              <w:t>14</w:t>
            </w:r>
          </w:p>
        </w:tc>
        <w:tc>
          <w:tcPr>
            <w:tcW w:type="dxa" w:w="1568"/>
          </w:tcPr>
          <w:p>
            <w:r>
              <w:rPr>
                <w:sz w:val="18"/>
              </w:rPr>
              <w:t>Jardim das Caiçaras</w:t>
            </w:r>
          </w:p>
        </w:tc>
        <w:tc>
          <w:tcPr>
            <w:tcW w:type="dxa" w:w="1568"/>
          </w:tcPr>
          <w:p>
            <w:r>
              <w:rPr>
                <w:sz w:val="18"/>
              </w:rPr>
              <w:t>78</w:t>
            </w:r>
          </w:p>
        </w:tc>
        <w:tc>
          <w:tcPr>
            <w:tcW w:type="dxa" w:w="1568"/>
          </w:tcPr>
          <w:p>
            <w:r>
              <w:rPr>
                <w:sz w:val="18"/>
              </w:rPr>
              <w:t>0</w:t>
            </w:r>
          </w:p>
        </w:tc>
        <w:tc>
          <w:tcPr>
            <w:tcW w:type="dxa" w:w="1568"/>
          </w:tcPr>
          <w:p>
            <w:r>
              <w:rPr>
                <w:sz w:val="18"/>
              </w:rPr>
              <w:t>78</w:t>
            </w:r>
          </w:p>
        </w:tc>
        <w:tc>
          <w:tcPr>
            <w:tcW w:type="dxa" w:w="1568"/>
          </w:tcPr>
          <w:p>
            <w:r>
              <w:rPr>
                <w:sz w:val="18"/>
              </w:rPr>
              <w:t>73</w:t>
            </w:r>
          </w:p>
        </w:tc>
        <w:tc>
          <w:tcPr>
            <w:tcW w:type="dxa" w:w="1568"/>
          </w:tcPr>
          <w:p>
            <w:r>
              <w:rPr>
                <w:sz w:val="18"/>
              </w:rPr>
              <w:t>5</w:t>
            </w:r>
          </w:p>
        </w:tc>
        <w:tc>
          <w:tcPr>
            <w:tcW w:type="dxa" w:w="1568"/>
          </w:tcPr>
          <w:p>
            <w:r>
              <w:rPr>
                <w:sz w:val="18"/>
              </w:rPr>
              <w:t>nov/2023 a mai/2026</w:t>
            </w:r>
          </w:p>
        </w:tc>
        <w:tc>
          <w:tcPr>
            <w:tcW w:type="dxa" w:w="1568"/>
          </w:tcPr>
          <w:p>
            <w:r>
              <w:rPr>
                <w:sz w:val="18"/>
              </w:rPr>
              <w:t>21.063</w:t>
            </w:r>
          </w:p>
        </w:tc>
      </w:tr>
      <w:tr>
        <w:tc>
          <w:tcPr>
            <w:tcW w:type="dxa" w:w="1568"/>
          </w:tcPr>
          <w:p>
            <w:r>
              <w:rPr>
                <w:sz w:val="18"/>
              </w:rPr>
              <w:t>15</w:t>
            </w:r>
          </w:p>
        </w:tc>
        <w:tc>
          <w:tcPr>
            <w:tcW w:type="dxa" w:w="1568"/>
          </w:tcPr>
          <w:p>
            <w:r>
              <w:rPr>
                <w:sz w:val="18"/>
              </w:rPr>
              <w:t>Morada do Sol</w:t>
            </w:r>
          </w:p>
        </w:tc>
        <w:tc>
          <w:tcPr>
            <w:tcW w:type="dxa" w:w="1568"/>
          </w:tcPr>
          <w:p>
            <w:r>
              <w:rPr>
                <w:sz w:val="18"/>
              </w:rPr>
              <w:t>15</w:t>
            </w:r>
          </w:p>
        </w:tc>
        <w:tc>
          <w:tcPr>
            <w:tcW w:type="dxa" w:w="1568"/>
          </w:tcPr>
          <w:p>
            <w:r>
              <w:rPr>
                <w:sz w:val="18"/>
              </w:rPr>
              <w:t>0</w:t>
            </w:r>
          </w:p>
        </w:tc>
        <w:tc>
          <w:tcPr>
            <w:tcW w:type="dxa" w:w="1568"/>
          </w:tcPr>
          <w:p>
            <w:r>
              <w:rPr>
                <w:sz w:val="18"/>
              </w:rPr>
              <w:t>15</w:t>
            </w:r>
          </w:p>
        </w:tc>
        <w:tc>
          <w:tcPr>
            <w:tcW w:type="dxa" w:w="1568"/>
          </w:tcPr>
          <w:p>
            <w:r>
              <w:rPr>
                <w:sz w:val="18"/>
              </w:rPr>
              <w:t>15</w:t>
            </w:r>
          </w:p>
        </w:tc>
        <w:tc>
          <w:tcPr>
            <w:tcW w:type="dxa" w:w="1568"/>
          </w:tcPr>
          <w:p>
            <w:r>
              <w:rPr>
                <w:sz w:val="18"/>
              </w:rPr>
              <w:t>0</w:t>
            </w:r>
          </w:p>
        </w:tc>
        <w:tc>
          <w:tcPr>
            <w:tcW w:type="dxa" w:w="1568"/>
          </w:tcPr>
          <w:p>
            <w:r>
              <w:rPr>
                <w:sz w:val="18"/>
              </w:rPr>
              <w:t>nov/2023 a mai/2026</w:t>
            </w:r>
          </w:p>
        </w:tc>
        <w:tc>
          <w:tcPr>
            <w:tcW w:type="dxa" w:w="1568"/>
          </w:tcPr>
          <w:p>
            <w:r>
              <w:rPr>
                <w:sz w:val="18"/>
              </w:rPr>
              <w:t>3.262</w:t>
            </w:r>
          </w:p>
        </w:tc>
      </w:tr>
      <w:tr>
        <w:tc>
          <w:tcPr>
            <w:tcW w:type="dxa" w:w="1568"/>
          </w:tcPr>
          <w:p>
            <w:r>
              <w:rPr>
                <w:sz w:val="18"/>
              </w:rPr>
              <w:t>25</w:t>
            </w:r>
          </w:p>
        </w:tc>
        <w:tc>
          <w:tcPr>
            <w:tcW w:type="dxa" w:w="1568"/>
          </w:tcPr>
          <w:p>
            <w:r>
              <w:rPr>
                <w:sz w:val="18"/>
              </w:rPr>
              <w:t>Parque Residencial Oitizeiro</w:t>
            </w:r>
          </w:p>
        </w:tc>
        <w:tc>
          <w:tcPr>
            <w:tcW w:type="dxa" w:w="1568"/>
          </w:tcPr>
          <w:p>
            <w:r>
              <w:rPr>
                <w:sz w:val="18"/>
              </w:rPr>
              <w:t>41</w:t>
            </w:r>
          </w:p>
        </w:tc>
        <w:tc>
          <w:tcPr>
            <w:tcW w:type="dxa" w:w="1568"/>
          </w:tcPr>
          <w:p>
            <w:r>
              <w:rPr>
                <w:sz w:val="18"/>
              </w:rPr>
              <w:t>0</w:t>
            </w:r>
          </w:p>
        </w:tc>
        <w:tc>
          <w:tcPr>
            <w:tcW w:type="dxa" w:w="1568"/>
          </w:tcPr>
          <w:p>
            <w:r>
              <w:rPr>
                <w:sz w:val="18"/>
              </w:rPr>
              <w:t>41</w:t>
            </w:r>
          </w:p>
        </w:tc>
        <w:tc>
          <w:tcPr>
            <w:tcW w:type="dxa" w:w="1568"/>
          </w:tcPr>
          <w:p>
            <w:r>
              <w:rPr>
                <w:sz w:val="18"/>
              </w:rPr>
              <w:t>41</w:t>
            </w:r>
          </w:p>
        </w:tc>
        <w:tc>
          <w:tcPr>
            <w:tcW w:type="dxa" w:w="1568"/>
          </w:tcPr>
          <w:p>
            <w:r>
              <w:rPr>
                <w:sz w:val="18"/>
              </w:rPr>
              <w:t>0</w:t>
            </w:r>
          </w:p>
        </w:tc>
        <w:tc>
          <w:tcPr>
            <w:tcW w:type="dxa" w:w="1568"/>
          </w:tcPr>
          <w:p>
            <w:r>
              <w:rPr>
                <w:sz w:val="18"/>
              </w:rPr>
              <w:t>nov/2023 a mai/2026</w:t>
            </w:r>
          </w:p>
        </w:tc>
        <w:tc>
          <w:tcPr>
            <w:tcW w:type="dxa" w:w="1568"/>
          </w:tcPr>
          <w:p>
            <w:r>
              <w:rPr>
                <w:sz w:val="18"/>
              </w:rPr>
              <w:t>13.711</w:t>
            </w:r>
          </w:p>
        </w:tc>
      </w:tr>
      <w:tr>
        <w:tc>
          <w:tcPr>
            <w:tcW w:type="dxa" w:w="1568"/>
          </w:tcPr>
          <w:p>
            <w:r>
              <w:rPr>
                <w:sz w:val="18"/>
              </w:rPr>
              <w:t>27</w:t>
            </w:r>
          </w:p>
        </w:tc>
        <w:tc>
          <w:tcPr>
            <w:tcW w:type="dxa" w:w="1568"/>
          </w:tcPr>
          <w:p>
            <w:r>
              <w:rPr>
                <w:sz w:val="18"/>
              </w:rPr>
              <w:t>Residencial Mar Aberto</w:t>
            </w:r>
          </w:p>
        </w:tc>
        <w:tc>
          <w:tcPr>
            <w:tcW w:type="dxa" w:w="1568"/>
          </w:tcPr>
          <w:p>
            <w:r>
              <w:rPr>
                <w:sz w:val="18"/>
              </w:rPr>
              <w:t>8</w:t>
            </w:r>
          </w:p>
        </w:tc>
        <w:tc>
          <w:tcPr>
            <w:tcW w:type="dxa" w:w="1568"/>
          </w:tcPr>
          <w:p>
            <w:r>
              <w:rPr>
                <w:sz w:val="18"/>
              </w:rPr>
              <w:t>25</w:t>
            </w:r>
          </w:p>
        </w:tc>
        <w:tc>
          <w:tcPr>
            <w:tcW w:type="dxa" w:w="1568"/>
          </w:tcPr>
          <w:p>
            <w:r>
              <w:rPr>
                <w:sz w:val="18"/>
              </w:rPr>
              <w:t>33</w:t>
            </w:r>
          </w:p>
        </w:tc>
        <w:tc>
          <w:tcPr>
            <w:tcW w:type="dxa" w:w="1568"/>
          </w:tcPr>
          <w:p>
            <w:r>
              <w:rPr>
                <w:sz w:val="18"/>
              </w:rPr>
              <w:t>33</w:t>
            </w:r>
          </w:p>
        </w:tc>
        <w:tc>
          <w:tcPr>
            <w:tcW w:type="dxa" w:w="1568"/>
          </w:tcPr>
          <w:p>
            <w:r>
              <w:rPr>
                <w:sz w:val="18"/>
              </w:rPr>
              <w:t>0</w:t>
            </w:r>
          </w:p>
        </w:tc>
        <w:tc>
          <w:tcPr>
            <w:tcW w:type="dxa" w:w="1568"/>
          </w:tcPr>
          <w:p>
            <w:r>
              <w:rPr>
                <w:sz w:val="18"/>
              </w:rPr>
              <w:t>fev/2012 a dez/2023</w:t>
            </w:r>
          </w:p>
        </w:tc>
        <w:tc>
          <w:tcPr>
            <w:tcW w:type="dxa" w:w="1568"/>
          </w:tcPr>
          <w:p>
            <w:r>
              <w:rPr>
                <w:sz w:val="18"/>
              </w:rPr>
              <w:t>6.543</w:t>
            </w:r>
          </w:p>
        </w:tc>
      </w:tr>
      <w:tr>
        <w:tc>
          <w:tcPr>
            <w:tcW w:type="dxa" w:w="1568"/>
          </w:tcPr>
          <w:p>
            <w:r>
              <w:rPr>
                <w:sz w:val="18"/>
              </w:rPr>
              <w:t>31</w:t>
            </w:r>
          </w:p>
        </w:tc>
        <w:tc>
          <w:tcPr>
            <w:tcW w:type="dxa" w:w="1568"/>
          </w:tcPr>
          <w:p>
            <w:r>
              <w:rPr>
                <w:sz w:val="18"/>
              </w:rPr>
              <w:t>Melhorini Residencial Parque</w:t>
            </w:r>
          </w:p>
        </w:tc>
        <w:tc>
          <w:tcPr>
            <w:tcW w:type="dxa" w:w="1568"/>
          </w:tcPr>
          <w:p>
            <w:r>
              <w:rPr>
                <w:sz w:val="18"/>
              </w:rPr>
              <w:t>10</w:t>
            </w:r>
          </w:p>
        </w:tc>
        <w:tc>
          <w:tcPr>
            <w:tcW w:type="dxa" w:w="1568"/>
          </w:tcPr>
          <w:p>
            <w:r>
              <w:rPr>
                <w:sz w:val="18"/>
              </w:rPr>
              <w:t>0</w:t>
            </w:r>
          </w:p>
        </w:tc>
        <w:tc>
          <w:tcPr>
            <w:tcW w:type="dxa" w:w="1568"/>
          </w:tcPr>
          <w:p>
            <w:r>
              <w:rPr>
                <w:sz w:val="18"/>
              </w:rPr>
              <w:t>10</w:t>
            </w:r>
          </w:p>
        </w:tc>
        <w:tc>
          <w:tcPr>
            <w:tcW w:type="dxa" w:w="1568"/>
          </w:tcPr>
          <w:p>
            <w:r>
              <w:rPr>
                <w:sz w:val="18"/>
              </w:rPr>
              <w:t>10</w:t>
            </w:r>
          </w:p>
        </w:tc>
        <w:tc>
          <w:tcPr>
            <w:tcW w:type="dxa" w:w="1568"/>
          </w:tcPr>
          <w:p>
            <w:r>
              <w:rPr>
                <w:sz w:val="18"/>
              </w:rPr>
              <w:t>0</w:t>
            </w:r>
          </w:p>
        </w:tc>
        <w:tc>
          <w:tcPr>
            <w:tcW w:type="dxa" w:w="1568"/>
          </w:tcPr>
          <w:p>
            <w:r>
              <w:rPr>
                <w:sz w:val="18"/>
              </w:rPr>
              <w:t>nov/2023 a mai/2026</w:t>
            </w:r>
          </w:p>
        </w:tc>
        <w:tc>
          <w:tcPr>
            <w:tcW w:type="dxa" w:w="1568"/>
          </w:tcPr>
          <w:p>
            <w:r>
              <w:rPr>
                <w:sz w:val="18"/>
              </w:rPr>
              <w:t>1.914</w:t>
            </w:r>
          </w:p>
        </w:tc>
      </w:tr>
      <w:tr>
        <w:tc>
          <w:tcPr>
            <w:tcW w:type="dxa" w:w="1568"/>
          </w:tcPr>
          <w:p>
            <w:r>
              <w:rPr>
                <w:sz w:val="18"/>
              </w:rPr>
              <w:t>35</w:t>
            </w:r>
          </w:p>
        </w:tc>
        <w:tc>
          <w:tcPr>
            <w:tcW w:type="dxa" w:w="1568"/>
          </w:tcPr>
          <w:p>
            <w:r>
              <w:rPr>
                <w:sz w:val="18"/>
              </w:rPr>
              <w:t>Verão Vermelho</w:t>
            </w:r>
          </w:p>
        </w:tc>
        <w:tc>
          <w:tcPr>
            <w:tcW w:type="dxa" w:w="1568"/>
          </w:tcPr>
          <w:p>
            <w:r>
              <w:rPr>
                <w:sz w:val="18"/>
              </w:rPr>
              <w:t>9</w:t>
            </w:r>
          </w:p>
        </w:tc>
        <w:tc>
          <w:tcPr>
            <w:tcW w:type="dxa" w:w="1568"/>
          </w:tcPr>
          <w:p>
            <w:r>
              <w:rPr>
                <w:sz w:val="18"/>
              </w:rPr>
              <w:t>28</w:t>
            </w:r>
          </w:p>
        </w:tc>
        <w:tc>
          <w:tcPr>
            <w:tcW w:type="dxa" w:w="1568"/>
          </w:tcPr>
          <w:p>
            <w:r>
              <w:rPr>
                <w:sz w:val="18"/>
              </w:rPr>
              <w:t>37</w:t>
            </w:r>
          </w:p>
        </w:tc>
        <w:tc>
          <w:tcPr>
            <w:tcW w:type="dxa" w:w="1568"/>
          </w:tcPr>
          <w:p>
            <w:r>
              <w:rPr>
                <w:sz w:val="18"/>
              </w:rPr>
              <w:t>19</w:t>
            </w:r>
          </w:p>
        </w:tc>
        <w:tc>
          <w:tcPr>
            <w:tcW w:type="dxa" w:w="1568"/>
          </w:tcPr>
          <w:p>
            <w:r>
              <w:rPr>
                <w:sz w:val="18"/>
              </w:rPr>
              <w:t>18</w:t>
            </w:r>
          </w:p>
        </w:tc>
        <w:tc>
          <w:tcPr>
            <w:tcW w:type="dxa" w:w="1568"/>
          </w:tcPr>
          <w:p>
            <w:r>
              <w:rPr>
                <w:sz w:val="18"/>
              </w:rPr>
              <w:t>nov/2013 a mai/2026</w:t>
            </w:r>
          </w:p>
        </w:tc>
        <w:tc>
          <w:tcPr>
            <w:tcW w:type="dxa" w:w="1568"/>
          </w:tcPr>
          <w:p>
            <w:r>
              <w:rPr>
                <w:sz w:val="18"/>
              </w:rPr>
              <w:t>7.366</w:t>
            </w:r>
          </w:p>
        </w:tc>
      </w:tr>
      <w:tr>
        <w:tc>
          <w:tcPr>
            <w:tcW w:type="dxa" w:w="1568"/>
          </w:tcPr>
          <w:p>
            <w:r>
              <w:rPr>
                <w:sz w:val="18"/>
              </w:rPr>
              <w:t>36</w:t>
            </w:r>
          </w:p>
        </w:tc>
        <w:tc>
          <w:tcPr>
            <w:tcW w:type="dxa" w:w="1568"/>
          </w:tcPr>
          <w:p>
            <w:r>
              <w:rPr>
                <w:sz w:val="18"/>
              </w:rPr>
              <w:t>Residencial Ilha de Guriri I</w:t>
            </w:r>
          </w:p>
        </w:tc>
        <w:tc>
          <w:tcPr>
            <w:tcW w:type="dxa" w:w="1568"/>
          </w:tcPr>
          <w:p>
            <w:r>
              <w:rPr>
                <w:sz w:val="18"/>
              </w:rPr>
              <w:t>9</w:t>
            </w:r>
          </w:p>
        </w:tc>
        <w:tc>
          <w:tcPr>
            <w:tcW w:type="dxa" w:w="1568"/>
          </w:tcPr>
          <w:p>
            <w:r>
              <w:rPr>
                <w:sz w:val="18"/>
              </w:rPr>
              <w:t>0</w:t>
            </w:r>
          </w:p>
        </w:tc>
        <w:tc>
          <w:tcPr>
            <w:tcW w:type="dxa" w:w="1568"/>
          </w:tcPr>
          <w:p>
            <w:r>
              <w:rPr>
                <w:sz w:val="18"/>
              </w:rPr>
              <w:t>9</w:t>
            </w:r>
          </w:p>
        </w:tc>
        <w:tc>
          <w:tcPr>
            <w:tcW w:type="dxa" w:w="1568"/>
          </w:tcPr>
          <w:p>
            <w:r>
              <w:rPr>
                <w:sz w:val="18"/>
              </w:rPr>
              <w:t>9</w:t>
            </w:r>
          </w:p>
        </w:tc>
        <w:tc>
          <w:tcPr>
            <w:tcW w:type="dxa" w:w="1568"/>
          </w:tcPr>
          <w:p>
            <w:r>
              <w:rPr>
                <w:sz w:val="18"/>
              </w:rPr>
              <w:t>0</w:t>
            </w:r>
          </w:p>
        </w:tc>
        <w:tc>
          <w:tcPr>
            <w:tcW w:type="dxa" w:w="1568"/>
          </w:tcPr>
          <w:p>
            <w:r>
              <w:rPr>
                <w:sz w:val="18"/>
              </w:rPr>
              <w:t>fev/2012 a nov/2023</w:t>
            </w:r>
          </w:p>
        </w:tc>
        <w:tc>
          <w:tcPr>
            <w:tcW w:type="dxa" w:w="1568"/>
          </w:tcPr>
          <w:p>
            <w:r>
              <w:rPr>
                <w:sz w:val="18"/>
              </w:rPr>
              <w:t>1.946</w:t>
            </w:r>
          </w:p>
        </w:tc>
      </w:tr>
      <w:tr>
        <w:tc>
          <w:tcPr>
            <w:tcW w:type="dxa" w:w="1568"/>
          </w:tcPr>
          <w:p>
            <w:r>
              <w:rPr>
                <w:sz w:val="18"/>
              </w:rPr>
              <w:t>39</w:t>
            </w:r>
          </w:p>
        </w:tc>
        <w:tc>
          <w:tcPr>
            <w:tcW w:type="dxa" w:w="1568"/>
          </w:tcPr>
          <w:p>
            <w:r>
              <w:rPr>
                <w:sz w:val="18"/>
              </w:rPr>
              <w:t>Central</w:t>
            </w:r>
          </w:p>
        </w:tc>
        <w:tc>
          <w:tcPr>
            <w:tcW w:type="dxa" w:w="1568"/>
          </w:tcPr>
          <w:p>
            <w:r>
              <w:rPr>
                <w:sz w:val="18"/>
              </w:rPr>
              <w:t>10</w:t>
            </w:r>
          </w:p>
        </w:tc>
        <w:tc>
          <w:tcPr>
            <w:tcW w:type="dxa" w:w="1568"/>
          </w:tcPr>
          <w:p>
            <w:r>
              <w:rPr>
                <w:sz w:val="18"/>
              </w:rPr>
              <w:t>0</w:t>
            </w:r>
          </w:p>
        </w:tc>
        <w:tc>
          <w:tcPr>
            <w:tcW w:type="dxa" w:w="1568"/>
          </w:tcPr>
          <w:p>
            <w:r>
              <w:rPr>
                <w:sz w:val="18"/>
              </w:rPr>
              <w:t>10</w:t>
            </w:r>
          </w:p>
        </w:tc>
        <w:tc>
          <w:tcPr>
            <w:tcW w:type="dxa" w:w="1568"/>
          </w:tcPr>
          <w:p>
            <w:r>
              <w:rPr>
                <w:sz w:val="18"/>
              </w:rPr>
              <w:t>10</w:t>
            </w:r>
          </w:p>
        </w:tc>
        <w:tc>
          <w:tcPr>
            <w:tcW w:type="dxa" w:w="1568"/>
          </w:tcPr>
          <w:p>
            <w:r>
              <w:rPr>
                <w:sz w:val="18"/>
              </w:rPr>
              <w:t>0</w:t>
            </w:r>
          </w:p>
        </w:tc>
        <w:tc>
          <w:tcPr>
            <w:tcW w:type="dxa" w:w="1568"/>
          </w:tcPr>
          <w:p>
            <w:r>
              <w:rPr>
                <w:sz w:val="18"/>
              </w:rPr>
              <w:t>fev/2012 a mai/2026</w:t>
            </w:r>
          </w:p>
        </w:tc>
        <w:tc>
          <w:tcPr>
            <w:tcW w:type="dxa" w:w="1568"/>
          </w:tcPr>
          <w:p>
            <w:r>
              <w:rPr>
                <w:sz w:val="18"/>
              </w:rPr>
              <w:t>3.256</w:t>
            </w:r>
          </w:p>
        </w:tc>
      </w:tr>
      <w:tr>
        <w:tc>
          <w:tcPr>
            <w:tcW w:type="dxa" w:w="1568"/>
          </w:tcPr>
          <w:p>
            <w:r>
              <w:rPr>
                <w:sz w:val="18"/>
              </w:rPr>
              <w:t>42</w:t>
            </w:r>
          </w:p>
        </w:tc>
        <w:tc>
          <w:tcPr>
            <w:tcW w:type="dxa" w:w="1568"/>
          </w:tcPr>
          <w:p>
            <w:r>
              <w:rPr>
                <w:sz w:val="18"/>
              </w:rPr>
              <w:t>Residencial Bom Jesus</w:t>
            </w:r>
          </w:p>
        </w:tc>
        <w:tc>
          <w:tcPr>
            <w:tcW w:type="dxa" w:w="1568"/>
          </w:tcPr>
          <w:p>
            <w:r>
              <w:rPr>
                <w:sz w:val="18"/>
              </w:rPr>
              <w:t>70</w:t>
            </w:r>
          </w:p>
        </w:tc>
        <w:tc>
          <w:tcPr>
            <w:tcW w:type="dxa" w:w="1568"/>
          </w:tcPr>
          <w:p>
            <w:r>
              <w:rPr>
                <w:sz w:val="18"/>
              </w:rPr>
              <w:t>0</w:t>
            </w:r>
          </w:p>
        </w:tc>
        <w:tc>
          <w:tcPr>
            <w:tcW w:type="dxa" w:w="1568"/>
          </w:tcPr>
          <w:p>
            <w:r>
              <w:rPr>
                <w:sz w:val="18"/>
              </w:rPr>
              <w:t>70</w:t>
            </w:r>
          </w:p>
        </w:tc>
        <w:tc>
          <w:tcPr>
            <w:tcW w:type="dxa" w:w="1568"/>
          </w:tcPr>
          <w:p>
            <w:r>
              <w:rPr>
                <w:sz w:val="18"/>
              </w:rPr>
              <w:t>48</w:t>
            </w:r>
          </w:p>
        </w:tc>
        <w:tc>
          <w:tcPr>
            <w:tcW w:type="dxa" w:w="1568"/>
          </w:tcPr>
          <w:p>
            <w:r>
              <w:rPr>
                <w:sz w:val="18"/>
              </w:rPr>
              <w:t>22</w:t>
            </w:r>
          </w:p>
        </w:tc>
        <w:tc>
          <w:tcPr>
            <w:tcW w:type="dxa" w:w="1568"/>
          </w:tcPr>
          <w:p>
            <w:r>
              <w:rPr>
                <w:sz w:val="18"/>
              </w:rPr>
              <w:t>dez/2023 a mai/2026</w:t>
            </w:r>
          </w:p>
        </w:tc>
        <w:tc>
          <w:tcPr>
            <w:tcW w:type="dxa" w:w="1568"/>
          </w:tcPr>
          <w:p>
            <w:r>
              <w:rPr>
                <w:sz w:val="18"/>
              </w:rPr>
              <w:t>22.369</w:t>
            </w:r>
          </w:p>
        </w:tc>
      </w:tr>
      <w:tr>
        <w:tc>
          <w:tcPr>
            <w:tcW w:type="dxa" w:w="1568"/>
          </w:tcPr>
          <w:p>
            <w:r>
              <w:rPr>
                <w:sz w:val="18"/>
              </w:rPr>
              <w:t>47</w:t>
            </w:r>
          </w:p>
        </w:tc>
        <w:tc>
          <w:tcPr>
            <w:tcW w:type="dxa" w:w="1568"/>
          </w:tcPr>
          <w:p>
            <w:r>
              <w:rPr>
                <w:sz w:val="18"/>
              </w:rPr>
              <w:t>Praiano</w:t>
            </w:r>
          </w:p>
        </w:tc>
        <w:tc>
          <w:tcPr>
            <w:tcW w:type="dxa" w:w="1568"/>
          </w:tcPr>
          <w:p>
            <w:r>
              <w:rPr>
                <w:sz w:val="18"/>
              </w:rPr>
              <w:t>15</w:t>
            </w:r>
          </w:p>
        </w:tc>
        <w:tc>
          <w:tcPr>
            <w:tcW w:type="dxa" w:w="1568"/>
          </w:tcPr>
          <w:p>
            <w:r>
              <w:rPr>
                <w:sz w:val="18"/>
              </w:rPr>
              <w:t>0</w:t>
            </w:r>
          </w:p>
        </w:tc>
        <w:tc>
          <w:tcPr>
            <w:tcW w:type="dxa" w:w="1568"/>
          </w:tcPr>
          <w:p>
            <w:r>
              <w:rPr>
                <w:sz w:val="18"/>
              </w:rPr>
              <w:t>15</w:t>
            </w:r>
          </w:p>
        </w:tc>
        <w:tc>
          <w:tcPr>
            <w:tcW w:type="dxa" w:w="1568"/>
          </w:tcPr>
          <w:p>
            <w:r>
              <w:rPr>
                <w:sz w:val="18"/>
              </w:rPr>
              <w:t>15</w:t>
            </w:r>
          </w:p>
        </w:tc>
        <w:tc>
          <w:tcPr>
            <w:tcW w:type="dxa" w:w="1568"/>
          </w:tcPr>
          <w:p>
            <w:r>
              <w:rPr>
                <w:sz w:val="18"/>
              </w:rPr>
              <w:t>0</w:t>
            </w:r>
          </w:p>
        </w:tc>
        <w:tc>
          <w:tcPr>
            <w:tcW w:type="dxa" w:w="1568"/>
          </w:tcPr>
          <w:p>
            <w:r>
              <w:rPr>
                <w:sz w:val="18"/>
              </w:rPr>
              <w:t>nov/2023 a mai/2026</w:t>
            </w:r>
          </w:p>
        </w:tc>
        <w:tc>
          <w:tcPr>
            <w:tcW w:type="dxa" w:w="1568"/>
          </w:tcPr>
          <w:p>
            <w:r>
              <w:rPr>
                <w:sz w:val="18"/>
              </w:rPr>
              <w:t>2.480</w:t>
            </w:r>
          </w:p>
        </w:tc>
      </w:tr>
      <w:tr>
        <w:tc>
          <w:tcPr>
            <w:tcW w:type="dxa" w:w="1568"/>
          </w:tcPr>
          <w:p>
            <w:r>
              <w:rPr>
                <w:sz w:val="18"/>
              </w:rPr>
              <w:t>49</w:t>
            </w:r>
          </w:p>
        </w:tc>
        <w:tc>
          <w:tcPr>
            <w:tcW w:type="dxa" w:w="1568"/>
          </w:tcPr>
          <w:p>
            <w:r>
              <w:rPr>
                <w:sz w:val="18"/>
              </w:rPr>
              <w:t>Vale do Amazonas</w:t>
            </w:r>
          </w:p>
        </w:tc>
        <w:tc>
          <w:tcPr>
            <w:tcW w:type="dxa" w:w="1568"/>
          </w:tcPr>
          <w:p>
            <w:r>
              <w:rPr>
                <w:sz w:val="18"/>
              </w:rPr>
              <w:t>4</w:t>
            </w:r>
          </w:p>
        </w:tc>
        <w:tc>
          <w:tcPr>
            <w:tcW w:type="dxa" w:w="1568"/>
          </w:tcPr>
          <w:p>
            <w:r>
              <w:rPr>
                <w:sz w:val="18"/>
              </w:rPr>
              <w:t>0</w:t>
            </w:r>
          </w:p>
        </w:tc>
        <w:tc>
          <w:tcPr>
            <w:tcW w:type="dxa" w:w="1568"/>
          </w:tcPr>
          <w:p>
            <w:r>
              <w:rPr>
                <w:sz w:val="18"/>
              </w:rPr>
              <w:t>4</w:t>
            </w:r>
          </w:p>
        </w:tc>
        <w:tc>
          <w:tcPr>
            <w:tcW w:type="dxa" w:w="1568"/>
          </w:tcPr>
          <w:p>
            <w:r>
              <w:rPr>
                <w:sz w:val="18"/>
              </w:rPr>
              <w:t>4</w:t>
            </w:r>
          </w:p>
        </w:tc>
        <w:tc>
          <w:tcPr>
            <w:tcW w:type="dxa" w:w="1568"/>
          </w:tcPr>
          <w:p>
            <w:r>
              <w:rPr>
                <w:sz w:val="18"/>
              </w:rPr>
              <w:t>0</w:t>
            </w:r>
          </w:p>
        </w:tc>
        <w:tc>
          <w:tcPr>
            <w:tcW w:type="dxa" w:w="1568"/>
          </w:tcPr>
          <w:p>
            <w:r>
              <w:rPr>
                <w:sz w:val="18"/>
              </w:rPr>
              <w:t>fev/2012 a nov/2013</w:t>
            </w:r>
          </w:p>
        </w:tc>
        <w:tc>
          <w:tcPr>
            <w:tcW w:type="dxa" w:w="1568"/>
          </w:tcPr>
          <w:p>
            <w:r>
              <w:rPr>
                <w:sz w:val="18"/>
              </w:rPr>
              <w:t>1.186</w:t>
            </w:r>
          </w:p>
        </w:tc>
      </w:tr>
      <w:tr>
        <w:tc>
          <w:tcPr>
            <w:tcW w:type="dxa" w:w="1568"/>
          </w:tcPr>
          <w:p>
            <w:r>
              <w:rPr>
                <w:sz w:val="18"/>
              </w:rPr>
              <w:t>50</w:t>
            </w:r>
          </w:p>
        </w:tc>
        <w:tc>
          <w:tcPr>
            <w:tcW w:type="dxa" w:w="1568"/>
          </w:tcPr>
          <w:p>
            <w:r>
              <w:rPr>
                <w:sz w:val="18"/>
              </w:rPr>
              <w:t>Flor Pan</w:t>
            </w:r>
          </w:p>
        </w:tc>
        <w:tc>
          <w:tcPr>
            <w:tcW w:type="dxa" w:w="1568"/>
          </w:tcPr>
          <w:p>
            <w:r>
              <w:rPr>
                <w:sz w:val="18"/>
              </w:rPr>
              <w:t>9</w:t>
            </w:r>
          </w:p>
        </w:tc>
        <w:tc>
          <w:tcPr>
            <w:tcW w:type="dxa" w:w="1568"/>
          </w:tcPr>
          <w:p>
            <w:r>
              <w:rPr>
                <w:sz w:val="18"/>
              </w:rPr>
              <w:t>0</w:t>
            </w:r>
          </w:p>
        </w:tc>
        <w:tc>
          <w:tcPr>
            <w:tcW w:type="dxa" w:w="1568"/>
          </w:tcPr>
          <w:p>
            <w:r>
              <w:rPr>
                <w:sz w:val="18"/>
              </w:rPr>
              <w:t>9</w:t>
            </w:r>
          </w:p>
        </w:tc>
        <w:tc>
          <w:tcPr>
            <w:tcW w:type="dxa" w:w="1568"/>
          </w:tcPr>
          <w:p>
            <w:r>
              <w:rPr>
                <w:sz w:val="18"/>
              </w:rPr>
              <w:t>9</w:t>
            </w:r>
          </w:p>
        </w:tc>
        <w:tc>
          <w:tcPr>
            <w:tcW w:type="dxa" w:w="1568"/>
          </w:tcPr>
          <w:p>
            <w:r>
              <w:rPr>
                <w:sz w:val="18"/>
              </w:rPr>
              <w:t>0</w:t>
            </w:r>
          </w:p>
        </w:tc>
        <w:tc>
          <w:tcPr>
            <w:tcW w:type="dxa" w:w="1568"/>
          </w:tcPr>
          <w:p>
            <w:r>
              <w:rPr>
                <w:sz w:val="18"/>
              </w:rPr>
              <w:t>fev/2012 a nov/2023</w:t>
            </w:r>
          </w:p>
        </w:tc>
        <w:tc>
          <w:tcPr>
            <w:tcW w:type="dxa" w:w="1568"/>
          </w:tcPr>
          <w:p>
            <w:r>
              <w:rPr>
                <w:sz w:val="18"/>
              </w:rPr>
              <w:t>1.995</w:t>
            </w:r>
          </w:p>
        </w:tc>
      </w:tr>
      <w:tr>
        <w:tc>
          <w:tcPr>
            <w:tcW w:type="dxa" w:w="1568"/>
          </w:tcPr>
          <w:p>
            <w:r>
              <w:rPr>
                <w:sz w:val="18"/>
              </w:rPr>
              <w:t>60</w:t>
            </w:r>
          </w:p>
        </w:tc>
        <w:tc>
          <w:tcPr>
            <w:tcW w:type="dxa" w:w="1568"/>
          </w:tcPr>
          <w:p>
            <w:r>
              <w:rPr>
                <w:sz w:val="18"/>
              </w:rPr>
              <w:t>Residencial Evidência</w:t>
            </w:r>
          </w:p>
        </w:tc>
        <w:tc>
          <w:tcPr>
            <w:tcW w:type="dxa" w:w="1568"/>
          </w:tcPr>
          <w:p>
            <w:r>
              <w:rPr>
                <w:sz w:val="18"/>
              </w:rPr>
              <w:t>22</w:t>
            </w:r>
          </w:p>
        </w:tc>
        <w:tc>
          <w:tcPr>
            <w:tcW w:type="dxa" w:w="1568"/>
          </w:tcPr>
          <w:p>
            <w:r>
              <w:rPr>
                <w:sz w:val="18"/>
              </w:rPr>
              <w:t>0</w:t>
            </w:r>
          </w:p>
        </w:tc>
        <w:tc>
          <w:tcPr>
            <w:tcW w:type="dxa" w:w="1568"/>
          </w:tcPr>
          <w:p>
            <w:r>
              <w:rPr>
                <w:sz w:val="18"/>
              </w:rPr>
              <w:t>22</w:t>
            </w:r>
          </w:p>
        </w:tc>
        <w:tc>
          <w:tcPr>
            <w:tcW w:type="dxa" w:w="1568"/>
          </w:tcPr>
          <w:p>
            <w:r>
              <w:rPr>
                <w:sz w:val="18"/>
              </w:rPr>
              <w:t>22</w:t>
            </w:r>
          </w:p>
        </w:tc>
        <w:tc>
          <w:tcPr>
            <w:tcW w:type="dxa" w:w="1568"/>
          </w:tcPr>
          <w:p>
            <w:r>
              <w:rPr>
                <w:sz w:val="18"/>
              </w:rPr>
              <w:t>0</w:t>
            </w:r>
          </w:p>
        </w:tc>
        <w:tc>
          <w:tcPr>
            <w:tcW w:type="dxa" w:w="1568"/>
          </w:tcPr>
          <w:p>
            <w:r>
              <w:rPr>
                <w:sz w:val="18"/>
              </w:rPr>
              <w:t>fev/2012 a mai/2026</w:t>
            </w:r>
          </w:p>
        </w:tc>
        <w:tc>
          <w:tcPr>
            <w:tcW w:type="dxa" w:w="1568"/>
          </w:tcPr>
          <w:p>
            <w:r>
              <w:rPr>
                <w:sz w:val="18"/>
              </w:rPr>
              <w:t>3.640</w:t>
            </w:r>
          </w:p>
        </w:tc>
      </w:tr>
      <w:tr>
        <w:tc>
          <w:tcPr>
            <w:tcW w:type="dxa" w:w="1568"/>
          </w:tcPr>
          <w:p>
            <w:r>
              <w:rPr>
                <w:sz w:val="18"/>
              </w:rPr>
              <w:t>70</w:t>
            </w:r>
          </w:p>
        </w:tc>
        <w:tc>
          <w:tcPr>
            <w:tcW w:type="dxa" w:w="1568"/>
          </w:tcPr>
          <w:p>
            <w:r>
              <w:rPr>
                <w:sz w:val="18"/>
              </w:rPr>
              <w:t>Pontal de Guriri</w:t>
            </w:r>
          </w:p>
        </w:tc>
        <w:tc>
          <w:tcPr>
            <w:tcW w:type="dxa" w:w="1568"/>
          </w:tcPr>
          <w:p>
            <w:r>
              <w:rPr>
                <w:sz w:val="18"/>
              </w:rPr>
              <w:t>28</w:t>
            </w:r>
          </w:p>
        </w:tc>
        <w:tc>
          <w:tcPr>
            <w:tcW w:type="dxa" w:w="1568"/>
          </w:tcPr>
          <w:p>
            <w:r>
              <w:rPr>
                <w:sz w:val="18"/>
              </w:rPr>
              <w:t>0</w:t>
            </w:r>
          </w:p>
        </w:tc>
        <w:tc>
          <w:tcPr>
            <w:tcW w:type="dxa" w:w="1568"/>
          </w:tcPr>
          <w:p>
            <w:r>
              <w:rPr>
                <w:sz w:val="18"/>
              </w:rPr>
              <w:t>28</w:t>
            </w:r>
          </w:p>
        </w:tc>
        <w:tc>
          <w:tcPr>
            <w:tcW w:type="dxa" w:w="1568"/>
          </w:tcPr>
          <w:p>
            <w:r>
              <w:rPr>
                <w:sz w:val="18"/>
              </w:rPr>
              <w:t>23</w:t>
            </w:r>
          </w:p>
        </w:tc>
        <w:tc>
          <w:tcPr>
            <w:tcW w:type="dxa" w:w="1568"/>
          </w:tcPr>
          <w:p>
            <w:r>
              <w:rPr>
                <w:sz w:val="18"/>
              </w:rPr>
              <w:t>5</w:t>
            </w:r>
          </w:p>
        </w:tc>
        <w:tc>
          <w:tcPr>
            <w:tcW w:type="dxa" w:w="1568"/>
          </w:tcPr>
          <w:p>
            <w:r>
              <w:rPr>
                <w:sz w:val="18"/>
              </w:rPr>
              <w:t>nov/2023 a mai/2026</w:t>
            </w:r>
          </w:p>
        </w:tc>
        <w:tc>
          <w:tcPr>
            <w:tcW w:type="dxa" w:w="1568"/>
          </w:tcPr>
          <w:p>
            <w:r>
              <w:rPr>
                <w:sz w:val="18"/>
              </w:rPr>
              <w:t>5.981</w:t>
            </w:r>
          </w:p>
        </w:tc>
      </w:tr>
      <w:tr>
        <w:tc>
          <w:tcPr>
            <w:tcW w:type="dxa" w:w="1568"/>
          </w:tcPr>
          <w:p>
            <w:r>
              <w:rPr>
                <w:sz w:val="18"/>
              </w:rPr>
              <w:t>78</w:t>
            </w:r>
          </w:p>
        </w:tc>
        <w:tc>
          <w:tcPr>
            <w:tcW w:type="dxa" w:w="1568"/>
          </w:tcPr>
          <w:p>
            <w:r>
              <w:rPr>
                <w:sz w:val="18"/>
              </w:rPr>
              <w:t>João de Barro (COHAJOBA)</w:t>
            </w:r>
          </w:p>
        </w:tc>
        <w:tc>
          <w:tcPr>
            <w:tcW w:type="dxa" w:w="1568"/>
          </w:tcPr>
          <w:p>
            <w:r>
              <w:rPr>
                <w:sz w:val="18"/>
              </w:rPr>
              <w:t>0</w:t>
            </w:r>
          </w:p>
        </w:tc>
        <w:tc>
          <w:tcPr>
            <w:tcW w:type="dxa" w:w="1568"/>
          </w:tcPr>
          <w:p>
            <w:r>
              <w:rPr>
                <w:sz w:val="18"/>
              </w:rPr>
              <w:t>14</w:t>
            </w:r>
          </w:p>
        </w:tc>
        <w:tc>
          <w:tcPr>
            <w:tcW w:type="dxa" w:w="1568"/>
          </w:tcPr>
          <w:p>
            <w:r>
              <w:rPr>
                <w:sz w:val="18"/>
              </w:rPr>
              <w:t>14</w:t>
            </w:r>
          </w:p>
        </w:tc>
        <w:tc>
          <w:tcPr>
            <w:tcW w:type="dxa" w:w="1568"/>
          </w:tcPr>
          <w:p>
            <w:r>
              <w:rPr>
                <w:sz w:val="18"/>
              </w:rPr>
              <w:t>0</w:t>
            </w:r>
          </w:p>
        </w:tc>
        <w:tc>
          <w:tcPr>
            <w:tcW w:type="dxa" w:w="1568"/>
          </w:tcPr>
          <w:p>
            <w:r>
              <w:rPr>
                <w:sz w:val="18"/>
              </w:rPr>
              <w:t>14</w:t>
            </w:r>
          </w:p>
        </w:tc>
        <w:tc>
          <w:tcPr>
            <w:tcW w:type="dxa" w:w="1568"/>
          </w:tcPr>
          <w:p>
            <w:r>
              <w:rPr>
                <w:sz w:val="18"/>
              </w:rPr>
              <w:t>—</w:t>
            </w:r>
          </w:p>
        </w:tc>
        <w:tc>
          <w:tcPr>
            <w:tcW w:type="dxa" w:w="1568"/>
          </w:tcPr>
          <w:p>
            <w:r>
              <w:rPr>
                <w:sz w:val="18"/>
              </w:rPr>
              <w:t>673</w:t>
            </w:r>
          </w:p>
        </w:tc>
      </w:tr>
      <w:tr>
        <w:tc>
          <w:tcPr>
            <w:tcW w:type="dxa" w:w="1568"/>
          </w:tcPr>
          <w:p>
            <w:r>
              <w:rPr>
                <w:sz w:val="18"/>
              </w:rPr>
              <w:t>80</w:t>
            </w:r>
          </w:p>
        </w:tc>
        <w:tc>
          <w:tcPr>
            <w:tcW w:type="dxa" w:w="1568"/>
          </w:tcPr>
          <w:p>
            <w:r>
              <w:rPr>
                <w:sz w:val="18"/>
              </w:rPr>
              <w:t>Soma Cevolani (Golden Guriri)</w:t>
            </w:r>
          </w:p>
        </w:tc>
        <w:tc>
          <w:tcPr>
            <w:tcW w:type="dxa" w:w="1568"/>
          </w:tcPr>
          <w:p>
            <w:r>
              <w:rPr>
                <w:sz w:val="18"/>
              </w:rPr>
              <w:t>0</w:t>
            </w:r>
          </w:p>
        </w:tc>
        <w:tc>
          <w:tcPr>
            <w:tcW w:type="dxa" w:w="1568"/>
          </w:tcPr>
          <w:p>
            <w:r>
              <w:rPr>
                <w:sz w:val="18"/>
              </w:rPr>
              <w:t>32</w:t>
            </w:r>
          </w:p>
        </w:tc>
        <w:tc>
          <w:tcPr>
            <w:tcW w:type="dxa" w:w="1568"/>
          </w:tcPr>
          <w:p>
            <w:r>
              <w:rPr>
                <w:sz w:val="18"/>
              </w:rPr>
              <w:t>32</w:t>
            </w:r>
          </w:p>
        </w:tc>
        <w:tc>
          <w:tcPr>
            <w:tcW w:type="dxa" w:w="1568"/>
          </w:tcPr>
          <w:p>
            <w:r>
              <w:rPr>
                <w:sz w:val="18"/>
              </w:rPr>
              <w:t>2</w:t>
            </w:r>
          </w:p>
        </w:tc>
        <w:tc>
          <w:tcPr>
            <w:tcW w:type="dxa" w:w="1568"/>
          </w:tcPr>
          <w:p>
            <w:r>
              <w:rPr>
                <w:sz w:val="18"/>
              </w:rPr>
              <w:t>30</w:t>
            </w:r>
          </w:p>
        </w:tc>
        <w:tc>
          <w:tcPr>
            <w:tcW w:type="dxa" w:w="1568"/>
          </w:tcPr>
          <w:p>
            <w:r>
              <w:rPr>
                <w:sz w:val="18"/>
              </w:rPr>
              <w:t>mai/2026</w:t>
            </w:r>
          </w:p>
        </w:tc>
        <w:tc>
          <w:tcPr>
            <w:tcW w:type="dxa" w:w="1568"/>
          </w:tcPr>
          <w:p>
            <w:r>
              <w:rPr>
                <w:sz w:val="18"/>
              </w:rPr>
              <w:t>3.847</w:t>
            </w:r>
          </w:p>
        </w:tc>
      </w:tr>
      <w:tr>
        <w:tc>
          <w:tcPr>
            <w:tcW w:type="dxa" w:w="1568"/>
          </w:tcPr>
          <w:p>
            <w:r>
              <w:rPr>
                <w:sz w:val="18"/>
              </w:rPr>
              <w:t>84</w:t>
            </w:r>
          </w:p>
        </w:tc>
        <w:tc>
          <w:tcPr>
            <w:tcW w:type="dxa" w:w="1568"/>
          </w:tcPr>
          <w:p>
            <w:r>
              <w:rPr>
                <w:sz w:val="18"/>
              </w:rPr>
              <w:t>Pontal de Guriri II</w:t>
            </w:r>
          </w:p>
        </w:tc>
        <w:tc>
          <w:tcPr>
            <w:tcW w:type="dxa" w:w="1568"/>
          </w:tcPr>
          <w:p>
            <w:r>
              <w:rPr>
                <w:sz w:val="18"/>
              </w:rPr>
              <w:t>0</w:t>
            </w:r>
          </w:p>
        </w:tc>
        <w:tc>
          <w:tcPr>
            <w:tcW w:type="dxa" w:w="1568"/>
          </w:tcPr>
          <w:p>
            <w:r>
              <w:rPr>
                <w:sz w:val="18"/>
              </w:rPr>
              <w:t>14</w:t>
            </w:r>
          </w:p>
        </w:tc>
        <w:tc>
          <w:tcPr>
            <w:tcW w:type="dxa" w:w="1568"/>
          </w:tcPr>
          <w:p>
            <w:r>
              <w:rPr>
                <w:sz w:val="18"/>
              </w:rPr>
              <w:t>14</w:t>
            </w:r>
          </w:p>
        </w:tc>
        <w:tc>
          <w:tcPr>
            <w:tcW w:type="dxa" w:w="1568"/>
          </w:tcPr>
          <w:p>
            <w:r>
              <w:rPr>
                <w:sz w:val="18"/>
              </w:rPr>
              <w:t>4</w:t>
            </w:r>
          </w:p>
        </w:tc>
        <w:tc>
          <w:tcPr>
            <w:tcW w:type="dxa" w:w="1568"/>
          </w:tcPr>
          <w:p>
            <w:r>
              <w:rPr>
                <w:sz w:val="18"/>
              </w:rPr>
              <w:t>10</w:t>
            </w:r>
          </w:p>
        </w:tc>
        <w:tc>
          <w:tcPr>
            <w:tcW w:type="dxa" w:w="1568"/>
          </w:tcPr>
          <w:p>
            <w:r>
              <w:rPr>
                <w:sz w:val="18"/>
              </w:rPr>
              <w:t>nov/2023</w:t>
            </w:r>
          </w:p>
        </w:tc>
        <w:tc>
          <w:tcPr>
            <w:tcW w:type="dxa" w:w="1568"/>
          </w:tcPr>
          <w:p>
            <w:r>
              <w:rPr>
                <w:sz w:val="18"/>
              </w:rPr>
              <w:t>1.137</w:t>
            </w:r>
          </w:p>
        </w:tc>
      </w:tr>
      <w:tr>
        <w:tc>
          <w:tcPr>
            <w:tcW w:type="dxa" w:w="1568"/>
          </w:tcPr>
          <w:p>
            <w:r>
              <w:rPr>
                <w:sz w:val="18"/>
              </w:rPr>
            </w:r>
          </w:p>
        </w:tc>
        <w:tc>
          <w:tcPr>
            <w:tcW w:type="dxa" w:w="1568"/>
          </w:tcPr>
          <w:p>
            <w:r>
              <w:rPr>
                <w:sz w:val="18"/>
              </w:rPr>
              <w:t>TOTAL — GURIRI</w:t>
            </w:r>
          </w:p>
        </w:tc>
        <w:tc>
          <w:tcPr>
            <w:tcW w:type="dxa" w:w="1568"/>
          </w:tcPr>
          <w:p>
            <w:r>
              <w:rPr>
                <w:sz w:val="18"/>
              </w:rPr>
              <w:t>496</w:t>
            </w:r>
          </w:p>
        </w:tc>
        <w:tc>
          <w:tcPr>
            <w:tcW w:type="dxa" w:w="1568"/>
          </w:tcPr>
          <w:p>
            <w:r>
              <w:rPr>
                <w:sz w:val="18"/>
              </w:rPr>
              <w:t>141</w:t>
            </w:r>
          </w:p>
        </w:tc>
        <w:tc>
          <w:tcPr>
            <w:tcW w:type="dxa" w:w="1568"/>
          </w:tcPr>
          <w:p>
            <w:r>
              <w:rPr>
                <w:sz w:val="18"/>
              </w:rPr>
              <w:t>637</w:t>
            </w:r>
          </w:p>
        </w:tc>
        <w:tc>
          <w:tcPr>
            <w:tcW w:type="dxa" w:w="1568"/>
          </w:tcPr>
          <w:p>
            <w:r>
              <w:rPr>
                <w:sz w:val="18"/>
              </w:rPr>
              <w:t>517</w:t>
            </w:r>
          </w:p>
        </w:tc>
        <w:tc>
          <w:tcPr>
            <w:tcW w:type="dxa" w:w="1568"/>
          </w:tcPr>
          <w:p>
            <w:r>
              <w:rPr>
                <w:sz w:val="18"/>
              </w:rPr>
              <w:t>120</w:t>
            </w:r>
          </w:p>
        </w:tc>
        <w:tc>
          <w:tcPr>
            <w:tcW w:type="dxa" w:w="1568"/>
          </w:tcPr>
          <w:p>
            <w:r>
              <w:rPr>
                <w:sz w:val="18"/>
              </w:rPr>
              <w:t>fev/2012 a mai/2026</w:t>
            </w:r>
          </w:p>
        </w:tc>
        <w:tc>
          <w:tcPr>
            <w:tcW w:type="dxa" w:w="1568"/>
          </w:tcPr>
          <w:p>
            <w:r>
              <w:rPr>
                <w:sz w:val="18"/>
              </w:rPr>
              <w:t>154.239</w:t>
            </w:r>
          </w:p>
        </w:tc>
      </w:tr>
    </w:tbl>
    <w:p>
      <w:pPr>
        <w:spacing w:after="120"/>
      </w:pPr>
      <w:r>
        <w:rPr>
          <w:b w:val="0"/>
          <w:i w:val="0"/>
          <w:color w:val="595959"/>
          <w:sz w:val="17"/>
        </w:rPr>
        <w:t>“Extensão representada” é a soma dos trechos que cada ponto cobre; onde ela se aproxima da extensão do loteamento, a auditoria varreu a malha inteira. A leitura útil está no extremo oposto: Bosque da Praia (5.780 m de 36.392), João de Barro (673 m de 1.490) e Soma Cevolani (3.847 m de 4.952) são os três em que a amostra cobre a menor parcela da malha — e são exatamente os três que o §3.4 já isola como camada a confirmar. Onde não há data de imagem, a leitura foi feita em satélite, que não registra data na fonte.</w:t>
      </w:r>
    </w:p>
    <w:p>
      <w:pPr>
        <w:sectPr>
          <w:pgSz w:w="15840" w:h="12240" w:orient="landscape"/>
          <w:pgMar w:top="1440" w:right="864" w:bottom="1440" w:left="864" w:header="720" w:footer="720" w:gutter="0"/>
          <w:cols w:space="720"/>
          <w:docGrid w:linePitch="360"/>
        </w:sectPr>
      </w:pPr>
    </w:p>
    <w:p>
      <w:pPr>
        <w:spacing w:after="120" w:before="200"/>
      </w:pPr>
      <w:r>
        <w:rPr>
          <w:b/>
          <w:i w:val="0"/>
          <w:sz w:val="26"/>
        </w:rPr>
        <w:t>Anexo B — a banda composicional: camada por camada, com os códigos oficiais</w:t>
      </w:r>
    </w:p>
    <w:p>
      <w:pPr>
        <w:spacing w:after="120"/>
      </w:pPr>
      <w:r>
        <w:rPr>
          <w:b w:val="0"/>
          <w:i w:val="0"/>
        </w:rPr>
        <w:t>A via urbana completa em bloco intertravado sobre areia — o padrão de Guriri — foi decomposta nas composições analíticas oficiais da tabela DER-ES/LABOR-UFES (Abr/2026) e do SINAPI-ES (06/2026), por m² de pista. DUAS GEOMETRIAS: a versão anterior usava caixa de 9 m com a calçada embutida (âncora: Bacia 1, 125.000 m² ÷ 13,5 km = 9,26 m); esta versão adota a geometria MEDIDA nos projetos dos loteamentos — pista de 8 m, com as calçadas contadas separadamente, porque o inventário do §3 traz a área de calçada como linha própria. A tabela abaixo é a da geometria medida; a diferença de banda entre as duas (0,73–0,93 na de 9 m contra 0,66–0,86 na de 8 m) decorre inteiramente de a calçada ter saído do denominador da pista, e não de mudança de composição: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Camada</w:t>
            </w:r>
          </w:p>
        </w:tc>
        <w:tc>
          <w:tcPr>
            <w:tcW w:type="dxa" w:w="2340"/>
          </w:tcPr>
          <w:p>
            <w:r>
              <w:rPr>
                <w:b/>
                <w:sz w:val="18"/>
              </w:rPr>
              <w:t>Composição oficial</w:t>
            </w:r>
          </w:p>
        </w:tc>
        <w:tc>
          <w:tcPr>
            <w:tcW w:type="dxa" w:w="2340"/>
          </w:tcPr>
          <w:p>
            <w:r>
              <w:rPr>
                <w:b/>
                <w:sz w:val="18"/>
              </w:rPr>
              <w:t>Conta</w:t>
            </w:r>
          </w:p>
        </w:tc>
        <w:tc>
          <w:tcPr>
            <w:tcW w:type="dxa" w:w="2340"/>
          </w:tcPr>
          <w:p>
            <w:r>
              <w:rPr>
                <w:b/>
                <w:sz w:val="18"/>
              </w:rPr>
              <w:t>t/m² de agregados</w:t>
            </w:r>
          </w:p>
        </w:tc>
      </w:tr>
      <w:tr>
        <w:tc>
          <w:tcPr>
            <w:tcW w:type="dxa" w:w="2340"/>
          </w:tcPr>
          <w:p>
            <w:r>
              <w:rPr>
                <w:sz w:val="18"/>
              </w:rPr>
              <w:t>Colchão de assentamento — pó de pedra, 10 cm</w:t>
            </w:r>
          </w:p>
        </w:tc>
        <w:tc>
          <w:tcPr>
            <w:tcW w:type="dxa" w:w="2340"/>
          </w:tcPr>
          <w:p>
            <w:r>
              <w:rPr>
                <w:sz w:val="18"/>
              </w:rPr>
              <w:t>DER-ES 200206 (0,10 m³/m²)</w:t>
            </w:r>
          </w:p>
        </w:tc>
        <w:tc>
          <w:tcPr>
            <w:tcW w:type="dxa" w:w="2340"/>
          </w:tcPr>
          <w:p>
            <w:r>
              <w:rPr>
                <w:sz w:val="18"/>
              </w:rPr>
              <w:t>0,10 m³ × 1,55–1,65 t/m³</w:t>
            </w:r>
          </w:p>
        </w:tc>
        <w:tc>
          <w:tcPr>
            <w:tcW w:type="dxa" w:w="2340"/>
          </w:tcPr>
          <w:p>
            <w:r>
              <w:rPr>
                <w:sz w:val="18"/>
              </w:rPr>
              <w:t>0,155–0,165</w:t>
            </w:r>
          </w:p>
        </w:tc>
      </w:tr>
      <w:tr>
        <w:tc>
          <w:tcPr>
            <w:tcW w:type="dxa" w:w="2340"/>
          </w:tcPr>
          <w:p>
            <w:r>
              <w:rPr>
                <w:sz w:val="18"/>
              </w:rPr>
              <w:t>Rejunte</w:t>
            </w:r>
          </w:p>
        </w:tc>
        <w:tc>
          <w:tcPr>
            <w:tcW w:type="dxa" w:w="2340"/>
          </w:tcPr>
          <w:p>
            <w:r>
              <w:rPr>
                <w:sz w:val="18"/>
              </w:rPr>
              <w:t>DER-ES 200206 (0,0098 m³/m²)</w:t>
            </w:r>
          </w:p>
        </w:tc>
        <w:tc>
          <w:tcPr>
            <w:tcW w:type="dxa" w:w="2340"/>
          </w:tcPr>
          <w:p>
            <w:r>
              <w:rPr>
                <w:sz w:val="18"/>
              </w:rPr>
              <w:t>× 1,45–1,50</w:t>
            </w:r>
          </w:p>
        </w:tc>
        <w:tc>
          <w:tcPr>
            <w:tcW w:type="dxa" w:w="2340"/>
          </w:tcPr>
          <w:p>
            <w:r>
              <w:rPr>
                <w:sz w:val="18"/>
              </w:rPr>
              <w:t>0,014–0,015</w:t>
            </w:r>
          </w:p>
        </w:tc>
      </w:tr>
      <w:tr>
        <w:tc>
          <w:tcPr>
            <w:tcW w:type="dxa" w:w="2340"/>
          </w:tcPr>
          <w:p>
            <w:r>
              <w:rPr>
                <w:sz w:val="18"/>
              </w:rPr>
              <w:t>Blocos intertravados 8 cm, 35 MPa (48 und/m²)</w:t>
            </w:r>
          </w:p>
        </w:tc>
        <w:tc>
          <w:tcPr>
            <w:tcW w:type="dxa" w:w="2340"/>
          </w:tcPr>
          <w:p>
            <w:r>
              <w:rPr>
                <w:sz w:val="18"/>
              </w:rPr>
              <w:t>DER-ES 200206 + traço vibroprensado</w:t>
            </w:r>
          </w:p>
        </w:tc>
        <w:tc>
          <w:tcPr>
            <w:tcW w:type="dxa" w:w="2340"/>
          </w:tcPr>
          <w:p>
            <w:r>
              <w:rPr>
                <w:sz w:val="18"/>
              </w:rPr>
              <w:t>0,08 m³ de concreto × 1,85–1,95 t de agregado/m³</w:t>
            </w:r>
          </w:p>
        </w:tc>
        <w:tc>
          <w:tcPr>
            <w:tcW w:type="dxa" w:w="2340"/>
          </w:tcPr>
          <w:p>
            <w:r>
              <w:rPr>
                <w:sz w:val="18"/>
              </w:rPr>
              <w:t>0,148–0,156</w:t>
            </w:r>
          </w:p>
        </w:tc>
      </w:tr>
      <w:tr>
        <w:tc>
          <w:tcPr>
            <w:tcW w:type="dxa" w:w="2340"/>
          </w:tcPr>
          <w:p>
            <w:r>
              <w:rPr>
                <w:sz w:val="18"/>
              </w:rPr>
              <w:t>Base — brita graduada simples 12–15 cm</w:t>
            </w:r>
          </w:p>
        </w:tc>
        <w:tc>
          <w:tcPr>
            <w:tcW w:type="dxa" w:w="2340"/>
          </w:tcPr>
          <w:p>
            <w:r>
              <w:rPr>
                <w:sz w:val="18"/>
              </w:rPr>
              <w:t>SINAPI 96396/105727</w:t>
            </w:r>
          </w:p>
        </w:tc>
        <w:tc>
          <w:tcPr>
            <w:tcW w:type="dxa" w:w="2340"/>
          </w:tcPr>
          <w:p>
            <w:r>
              <w:rPr>
                <w:sz w:val="18"/>
              </w:rPr>
              <w:t>0,12–0,15 m³ × 2,15–2,25 t/m³ compactada</w:t>
            </w:r>
          </w:p>
        </w:tc>
        <w:tc>
          <w:tcPr>
            <w:tcW w:type="dxa" w:w="2340"/>
          </w:tcPr>
          <w:p>
            <w:r>
              <w:rPr>
                <w:sz w:val="18"/>
              </w:rPr>
              <w:t>0,258–0,337</w:t>
            </w:r>
          </w:p>
        </w:tc>
      </w:tr>
      <w:tr>
        <w:tc>
          <w:tcPr>
            <w:tcW w:type="dxa" w:w="2340"/>
          </w:tcPr>
          <w:p>
            <w:r>
              <w:rPr>
                <w:sz w:val="18"/>
              </w:rPr>
              <w:t>Meio-fio 15×30 cm, 2 lados</w:t>
            </w:r>
          </w:p>
        </w:tc>
        <w:tc>
          <w:tcPr>
            <w:tcW w:type="dxa" w:w="2340"/>
          </w:tcPr>
          <w:p>
            <w:r>
              <w:rPr>
                <w:sz w:val="18"/>
              </w:rPr>
              <w:t>DER-ES 200202</w:t>
            </w:r>
          </w:p>
        </w:tc>
        <w:tc>
          <w:tcPr>
            <w:tcW w:type="dxa" w:w="2340"/>
          </w:tcPr>
          <w:p>
            <w:r>
              <w:rPr>
                <w:sz w:val="18"/>
              </w:rPr>
              <w:t>0,045 m³/m × 2 ÷ 8 m × 2,10–2,19</w:t>
            </w:r>
          </w:p>
        </w:tc>
        <w:tc>
          <w:tcPr>
            <w:tcW w:type="dxa" w:w="2340"/>
          </w:tcPr>
          <w:p>
            <w:r>
              <w:rPr>
                <w:sz w:val="18"/>
              </w:rPr>
              <w:t>0,024–0,025</w:t>
            </w:r>
          </w:p>
        </w:tc>
      </w:tr>
      <w:tr>
        <w:tc>
          <w:tcPr>
            <w:tcW w:type="dxa" w:w="2340"/>
          </w:tcPr>
          <w:p>
            <w:r>
              <w:rPr>
                <w:sz w:val="18"/>
              </w:rPr>
              <w:t>Sarjeta 30×8 cm, 2 lados</w:t>
            </w:r>
          </w:p>
        </w:tc>
        <w:tc>
          <w:tcPr>
            <w:tcW w:type="dxa" w:w="2340"/>
          </w:tcPr>
          <w:p>
            <w:r>
              <w:rPr>
                <w:sz w:val="18"/>
              </w:rPr>
              <w:t>análoga DER-ES 200229</w:t>
            </w:r>
          </w:p>
        </w:tc>
        <w:tc>
          <w:tcPr>
            <w:tcW w:type="dxa" w:w="2340"/>
          </w:tcPr>
          <w:p>
            <w:r>
              <w:rPr>
                <w:sz w:val="18"/>
              </w:rPr>
              <w:t>0,048 m³/m ÷ 8 × 2,10–2,19</w:t>
            </w:r>
          </w:p>
        </w:tc>
        <w:tc>
          <w:tcPr>
            <w:tcW w:type="dxa" w:w="2340"/>
          </w:tcPr>
          <w:p>
            <w:r>
              <w:rPr>
                <w:sz w:val="18"/>
              </w:rPr>
              <w:t>0,013</w:t>
            </w:r>
          </w:p>
        </w:tc>
      </w:tr>
      <w:tr>
        <w:tc>
          <w:tcPr>
            <w:tcW w:type="dxa" w:w="2340"/>
          </w:tcPr>
          <w:p>
            <w:r>
              <w:rPr>
                <w:sz w:val="18"/>
              </w:rPr>
              <w:t>Drenagem superficial (bocas de lobo, ramais, caixas)</w:t>
            </w:r>
          </w:p>
        </w:tc>
        <w:tc>
          <w:tcPr>
            <w:tcW w:type="dxa" w:w="2340"/>
          </w:tcPr>
          <w:p>
            <w:r>
              <w:rPr>
                <w:sz w:val="18"/>
              </w:rPr>
              <w:t>PREMISSA declarada</w:t>
            </w:r>
          </w:p>
        </w:tc>
        <w:tc>
          <w:tcPr>
            <w:tcW w:type="dxa" w:w="2340"/>
          </w:tcPr>
          <w:p>
            <w:r>
              <w:rPr>
                <w:sz w:val="18"/>
              </w:rPr>
              <w:t>ordem de grandeza</w:t>
            </w:r>
          </w:p>
        </w:tc>
        <w:tc>
          <w:tcPr>
            <w:tcW w:type="dxa" w:w="2340"/>
          </w:tcPr>
          <w:p>
            <w:r>
              <w:rPr>
                <w:sz w:val="18"/>
              </w:rPr>
              <w:t>0,050–0,150</w:t>
            </w:r>
          </w:p>
        </w:tc>
      </w:tr>
      <w:tr>
        <w:tc>
          <w:tcPr>
            <w:tcW w:type="dxa" w:w="2340"/>
          </w:tcPr>
          <w:p>
            <w:r>
              <w:rPr>
                <w:sz w:val="18"/>
              </w:rPr>
              <w:t>TOTAL DA PISTA — AGREGADOS</w:t>
            </w:r>
          </w:p>
        </w:tc>
        <w:tc>
          <w:tcPr>
            <w:tcW w:type="dxa" w:w="2340"/>
          </w:tcPr>
          <w:p>
            <w:r>
              <w:rPr>
                <w:sz w:val="18"/>
              </w:rPr>
            </w:r>
          </w:p>
        </w:tc>
        <w:tc>
          <w:tcPr>
            <w:tcW w:type="dxa" w:w="2340"/>
          </w:tcPr>
          <w:p>
            <w:r>
              <w:rPr>
                <w:sz w:val="18"/>
              </w:rPr>
            </w:r>
          </w:p>
        </w:tc>
        <w:tc>
          <w:tcPr>
            <w:tcW w:type="dxa" w:w="2340"/>
          </w:tcPr>
          <w:p>
            <w:r>
              <w:rPr>
                <w:sz w:val="18"/>
              </w:rPr>
              <w:t>0,661–0,861</w:t>
            </w:r>
          </w:p>
        </w:tc>
      </w:tr>
      <w:tr>
        <w:tc>
          <w:tcPr>
            <w:tcW w:type="dxa" w:w="2340"/>
          </w:tcPr>
          <w:p>
            <w:r>
              <w:rPr>
                <w:sz w:val="18"/>
              </w:rPr>
              <w:t>dos quais PRODUTOS DE BRITAGEM (pó + BGS + gravilha dos blocos + brita dos concretos; exclui areia natural)</w:t>
            </w:r>
          </w:p>
        </w:tc>
        <w:tc>
          <w:tcPr>
            <w:tcW w:type="dxa" w:w="2340"/>
          </w:tcPr>
          <w:p>
            <w:r>
              <w:rPr>
                <w:sz w:val="18"/>
              </w:rPr>
            </w:r>
          </w:p>
        </w:tc>
        <w:tc>
          <w:tcPr>
            <w:tcW w:type="dxa" w:w="2340"/>
          </w:tcPr>
          <w:p>
            <w:r>
              <w:rPr>
                <w:sz w:val="18"/>
              </w:rPr>
            </w:r>
          </w:p>
        </w:tc>
        <w:tc>
          <w:tcPr>
            <w:tcW w:type="dxa" w:w="2340"/>
          </w:tcPr>
          <w:p>
            <w:r>
              <w:rPr>
                <w:sz w:val="18"/>
              </w:rPr>
              <w:t>0,586–0,738</w:t>
            </w:r>
          </w:p>
        </w:tc>
      </w:tr>
      <w:tr>
        <w:tc>
          <w:tcPr>
            <w:tcW w:type="dxa" w:w="2340"/>
          </w:tcPr>
          <w:p>
            <w:r>
              <w:rPr>
                <w:sz w:val="18"/>
              </w:rPr>
              <w:t>CALÇADA — lastro de concreto 6–8 cm (linha própria)</w:t>
            </w:r>
          </w:p>
        </w:tc>
        <w:tc>
          <w:tcPr>
            <w:tcW w:type="dxa" w:w="2340"/>
          </w:tcPr>
          <w:p>
            <w:r>
              <w:rPr>
                <w:sz w:val="18"/>
              </w:rPr>
              <w:t>DER-ES 130110</w:t>
            </w:r>
          </w:p>
        </w:tc>
        <w:tc>
          <w:tcPr>
            <w:tcW w:type="dxa" w:w="2340"/>
          </w:tcPr>
          <w:p>
            <w:r>
              <w:rPr>
                <w:sz w:val="18"/>
              </w:rPr>
              <w:t>0,06–0,08 m³ × 2,10–2,19</w:t>
            </w:r>
          </w:p>
        </w:tc>
        <w:tc>
          <w:tcPr>
            <w:tcW w:type="dxa" w:w="2340"/>
          </w:tcPr>
          <w:p>
            <w:r>
              <w:rPr>
                <w:sz w:val="18"/>
              </w:rPr>
              <w:t>0,126–0,175</w:t>
            </w:r>
          </w:p>
        </w:tc>
      </w:tr>
    </w:tbl>
    <w:p>
      <w:pPr>
        <w:spacing w:after="120"/>
      </w:pPr>
      <w:r>
        <w:rPr>
          <w:b w:val="0"/>
          <w:i w:val="0"/>
          <w:sz w:val="19"/>
        </w:rPr>
        <w:t>Por que a fração de britagem CAI do piso (88,7%) para o teto (85,7%) desta banda, ao contrário do que acontece na reconstrução das obras públicas, onde ela sobe: o único item premissado da tabela é a drenagem superficial, que vai de 0,050 a 0,150 t/m² — no teto ela responde por 17% da banda e é concreto, cujo agregado miúdo pode ser areia natural. Ou seja, o teto desta banda é o cenário com MAIS concreto, e concreto é o item menos intensivo em britagem do pavimento. A observação é da 4ª auditoria cega.</w:t>
      </w:r>
    </w:p>
    <w:p>
      <w:pPr>
        <w:spacing w:after="120"/>
      </w:pPr>
      <w:r>
        <w:rPr>
          <w:b w:val="0"/>
          <w:i w:val="0"/>
          <w:sz w:val="19"/>
        </w:rPr>
        <w:t>Insumos de agregado nas composições de concreto (DER-ES 040237, FCK 25): brita 1 + brita 2 = 0,8022 m³ soltos e areia 0,6594 m³ por m³ de concreto — 2,10–2,19 t de agregados comprados por m³, dos quais 1,14–1,20 t de brita. Fatores de empolamento oficiais das próprias composições: lastro de brita 1,2 m³ soltos por m³ compactado (200223); pó de pedra 1,05 (200323); rachão 1,1 (050115).</w:t>
      </w:r>
    </w:p>
    <w:p>
      <w:pPr>
        <w:spacing w:after="120" w:before="160"/>
      </w:pPr>
      <w:r>
        <w:rPr>
          <w:b/>
          <w:i w:val="0"/>
          <w:sz w:val="22"/>
        </w:rPr>
        <w:t>Validações cruzadas da banda</w:t>
      </w:r>
    </w:p>
    <w:p>
      <w:pPr>
        <w:spacing w:after="120"/>
      </w:pPr>
      <w:r>
        <w:rPr>
          <w:b w:val="0"/>
          <w:i w:val="0"/>
          <w:sz w:val="19"/>
        </w:rPr>
        <w:t>(1) RODOVIA: aplicando as mesmas composições a uma pista de 2 faixas (7,2–10 m; sub-base 15–20 cm + BGS 15 cm + CBUQ 7–10 cm a 94% de agregado + drenagem), obtém-se 6,1–11,0 mil t/km — a banda CONTÉM o fator setorial de 9.800 t/km (ANEPAC/CETEM), que o pacote usa nas parcelas rodoviárias. (2) GALERIA: por geometria de seção (simples 2,0×2,0 m com paredes de 20–25 cm ≈ 1,8–2,2 m³ de concreto/m; dupla 2,8–3,7; tripla 4,0–5,2), a premissa de 2,4–4,0 m³/m usada para o mix simples/dupla/tripla da Bacia 1 fica dentro da envoltória — 5,0–8,8 t de agregados por metro. (3) TRIANGULAÇÃO POR VALOR: os 159–235 mil t de agregados estimados para a Bacia 1 custam, a R$ 50–80/t posto (premissa declarada de preço), R$ 8–19 mi — 2,5% a 5,8% do contrato de R$ 321,8 mi, participação típica de agregados em obra pesada. As três vias são independentes e convergem.</w:t>
      </w:r>
    </w:p>
    <w:p>
      <w:pPr>
        <w:spacing w:after="120" w:before="200"/>
      </w:pPr>
      <w:r>
        <w:rPr>
          <w:b/>
          <w:i w:val="0"/>
          <w:sz w:val="26"/>
        </w:rPr>
        <w:t>Anexo C — referencial completo dos coeficientes: fonte, status e faixas por tipo de obra</w:t>
      </w:r>
    </w:p>
    <w:p>
      <w:pPr>
        <w:spacing w:after="120"/>
      </w:pPr>
      <w:r>
        <w:rPr>
          <w:b/>
          <w:i w:val="0"/>
        </w:rPr>
        <w:t>A cadeia inteira, dita de uma vez: NENHUMA tonelada deste estudo nasce de dinheiro. O “R$ 1 bilhão” é contexto; as toneladas nascem de QUANTIDADES FÍSICAS publicadas (km de rodovia, m² de pavimentação, metros de galeria) multiplicadas pelos coeficientes abaixo. Há exatamente duas exceções monetárias, ambas declaradas: a Bacia 2, estimada por paridade de valor com a Bacia 1 (porque seus m² não foram publicados), e a triangulação de plausibilidade do Anexo B (agregados como % do valor do contrato), que confere ordem de grandeza e não entra em nenhuma soma.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Coeficiente</w:t>
            </w:r>
          </w:p>
        </w:tc>
        <w:tc>
          <w:tcPr>
            <w:tcW w:type="dxa" w:w="2340"/>
          </w:tcPr>
          <w:p>
            <w:r>
              <w:rPr>
                <w:b/>
                <w:sz w:val="18"/>
              </w:rPr>
              <w:t>Faixa (mín–máx)</w:t>
            </w:r>
          </w:p>
        </w:tc>
        <w:tc>
          <w:tcPr>
            <w:tcW w:type="dxa" w:w="2340"/>
          </w:tcPr>
          <w:p>
            <w:r>
              <w:rPr>
                <w:b/>
                <w:sz w:val="18"/>
              </w:rPr>
              <w:t>Fonte primária</w:t>
            </w:r>
          </w:p>
        </w:tc>
        <w:tc>
          <w:tcPr>
            <w:tcW w:type="dxa" w:w="2340"/>
          </w:tcPr>
          <w:p>
            <w:r>
              <w:rPr>
                <w:b/>
                <w:sz w:val="18"/>
              </w:rPr>
              <w:t>Status</w:t>
            </w:r>
          </w:p>
        </w:tc>
      </w:tr>
      <w:tr>
        <w:tc>
          <w:tcPr>
            <w:tcW w:type="dxa" w:w="2340"/>
          </w:tcPr>
          <w:p>
            <w:r>
              <w:rPr>
                <w:sz w:val="18"/>
              </w:rPr>
              <w:t>Rodovia nova, 2 faixas</w:t>
            </w:r>
          </w:p>
        </w:tc>
        <w:tc>
          <w:tcPr>
            <w:tcW w:type="dxa" w:w="2340"/>
          </w:tcPr>
          <w:p>
            <w:r>
              <w:rPr>
                <w:sz w:val="18"/>
              </w:rPr>
              <w:t>9.800 t/km (setorial); banda composicional 6,1–11,0 mil t/km</w:t>
            </w:r>
          </w:p>
        </w:tc>
        <w:tc>
          <w:tcPr>
            <w:tcW w:type="dxa" w:w="2340"/>
          </w:tcPr>
          <w:p>
            <w:r>
              <w:rPr>
                <w:sz w:val="18"/>
              </w:rPr>
              <w:t>Linhagem completa fixada no Anexo A-2: Balanço Mineral Brasileiro 2001 / Sumários DNPM 2000–2002 (a página oficial da ANM traz a variante 9.500 t/km); 9.800 na publicação ANEPAC “Visão da Mineração de Agregados no Brasil” (Valverde &amp; Tsuchiya, set/2007), reapresentada ao Senado (11/05/2009) e no doc. CPRM/SGB. A banda composicional (6,1–11,0) contém as duas variantes; a 9.500, as parcelas rodoviárias caem ~3% — imaterial</w:t>
            </w:r>
          </w:p>
        </w:tc>
        <w:tc>
          <w:tcPr>
            <w:tcW w:type="dxa" w:w="2340"/>
          </w:tcPr>
          <w:p>
            <w:r>
              <w:rPr>
                <w:sz w:val="18"/>
              </w:rPr>
              <w:t>SETORIAL com hospedagem institucional + validação composicional</w:t>
            </w:r>
          </w:p>
        </w:tc>
      </w:tr>
      <w:tr>
        <w:tc>
          <w:tcPr>
            <w:tcW w:type="dxa" w:w="2340"/>
          </w:tcPr>
          <w:p>
            <w:r>
              <w:rPr>
                <w:sz w:val="18"/>
              </w:rPr>
              <w:t>Manutenção de rodovia</w:t>
            </w:r>
          </w:p>
        </w:tc>
        <w:tc>
          <w:tcPr>
            <w:tcW w:type="dxa" w:w="2340"/>
          </w:tcPr>
          <w:p>
            <w:r>
              <w:rPr>
                <w:sz w:val="18"/>
              </w:rPr>
              <w:t>3.000 t/km</w:t>
            </w:r>
          </w:p>
        </w:tc>
        <w:tc>
          <w:tcPr>
            <w:tcW w:type="dxa" w:w="2340"/>
          </w:tcPr>
          <w:p>
            <w:r>
              <w:rPr>
                <w:sz w:val="18"/>
              </w:rPr>
              <w:t>mesma tabela ANEPAC/CETEM</w:t>
            </w:r>
          </w:p>
        </w:tc>
        <w:tc>
          <w:tcPr>
            <w:tcW w:type="dxa" w:w="2340"/>
          </w:tcPr>
          <w:p>
            <w:r>
              <w:rPr>
                <w:sz w:val="18"/>
              </w:rPr>
              <w:t>SETORIAL (não usada nas somas)</w:t>
            </w:r>
          </w:p>
        </w:tc>
      </w:tr>
      <w:tr>
        <w:tc>
          <w:tcPr>
            <w:tcW w:type="dxa" w:w="2340"/>
          </w:tcPr>
          <w:p>
            <w:r>
              <w:rPr>
                <w:sz w:val="18"/>
              </w:rPr>
              <w:t>Pavimentação urbana SIMPLES (pista 10 m)</w:t>
            </w:r>
          </w:p>
        </w:tc>
        <w:tc>
          <w:tcPr>
            <w:tcW w:type="dxa" w:w="2340"/>
          </w:tcPr>
          <w:p>
            <w:r>
              <w:rPr>
                <w:sz w:val="18"/>
              </w:rPr>
              <w:t>2.000–3.250 t/km = 0,20–0,33 t/m²</w:t>
            </w:r>
          </w:p>
        </w:tc>
        <w:tc>
          <w:tcPr>
            <w:tcW w:type="dxa" w:w="2340"/>
          </w:tcPr>
          <w:p>
            <w:r>
              <w:rPr>
                <w:sz w:val="18"/>
              </w:rPr>
              <w:t>mesma tabela ANEPAC/CETEM</w:t>
            </w:r>
          </w:p>
        </w:tc>
        <w:tc>
          <w:tcPr>
            <w:tcW w:type="dxa" w:w="2340"/>
          </w:tcPr>
          <w:p>
            <w:r>
              <w:rPr>
                <w:sz w:val="18"/>
              </w:rPr>
              <w:t>SETORIAL — NÃO usada: cobre só recapeamento de pista</w:t>
            </w:r>
          </w:p>
        </w:tc>
      </w:tr>
      <w:tr>
        <w:tc>
          <w:tcPr>
            <w:tcW w:type="dxa" w:w="2340"/>
          </w:tcPr>
          <w:p>
            <w:r>
              <w:rPr>
                <w:sz w:val="18"/>
              </w:rPr>
              <w:t>Urbanização COMPLETA em intertravado sobre areia (Guriri)</w:t>
            </w:r>
          </w:p>
        </w:tc>
        <w:tc>
          <w:tcPr>
            <w:tcW w:type="dxa" w:w="2340"/>
          </w:tcPr>
          <w:p>
            <w:r>
              <w:rPr>
                <w:sz w:val="18"/>
              </w:rPr>
              <w:t>0,73–0,93 t/m² de agregados; 0,62–0,78 t/m² de produtos de britagem</w:t>
            </w:r>
          </w:p>
        </w:tc>
        <w:tc>
          <w:tcPr>
            <w:tcW w:type="dxa" w:w="2340"/>
          </w:tcPr>
          <w:p>
            <w:r>
              <w:rPr>
                <w:sz w:val="18"/>
              </w:rPr>
              <w:t>Derivação própria pelas composições oficiais DER-ES/LABOR-UFES 040237, 200206, 200202, 200223, 200323, 130110 e SINAPI-ES 96396/95995 (Anexo B)</w:t>
            </w:r>
          </w:p>
        </w:tc>
        <w:tc>
          <w:tcPr>
            <w:tcW w:type="dxa" w:w="2340"/>
          </w:tcPr>
          <w:p>
            <w:r>
              <w:rPr>
                <w:sz w:val="18"/>
              </w:rPr>
              <w:t>COMPOSICIONAL (tabelas oficiais; drenagem superficial = premissa declarada)</w:t>
            </w:r>
          </w:p>
        </w:tc>
      </w:tr>
      <w:tr>
        <w:tc>
          <w:tcPr>
            <w:tcW w:type="dxa" w:w="2340"/>
          </w:tcPr>
          <w:p>
            <w:r>
              <w:rPr>
                <w:sz w:val="18"/>
              </w:rPr>
              <w:t>Edificação</w:t>
            </w:r>
          </w:p>
        </w:tc>
        <w:tc>
          <w:tcPr>
            <w:tcW w:type="dxa" w:w="2340"/>
          </w:tcPr>
          <w:p>
            <w:r>
              <w:rPr>
                <w:sz w:val="18"/>
              </w:rPr>
              <w:t>1.360 t por 1.000 m² (1,36 t/m²)</w:t>
            </w:r>
          </w:p>
        </w:tc>
        <w:tc>
          <w:tcPr>
            <w:tcW w:type="dxa" w:w="2340"/>
          </w:tcPr>
          <w:p>
            <w:r>
              <w:rPr>
                <w:sz w:val="18"/>
              </w:rPr>
              <w:t>tabela ANEPAC/Senado/CETEM</w:t>
            </w:r>
          </w:p>
        </w:tc>
        <w:tc>
          <w:tcPr>
            <w:tcW w:type="dxa" w:w="2340"/>
          </w:tcPr>
          <w:p>
            <w:r>
              <w:rPr>
                <w:sz w:val="18"/>
              </w:rPr>
              <w:t>SETORIAL — não entra nas somas (nenhuma edificação contada); foi usada POR ENGANO como fator de pavimentação em versão anterior — corrigido nesta</w:t>
            </w:r>
          </w:p>
        </w:tc>
      </w:tr>
      <w:tr>
        <w:tc>
          <w:tcPr>
            <w:tcW w:type="dxa" w:w="2340"/>
          </w:tcPr>
          <w:p>
            <w:r>
              <w:rPr>
                <w:sz w:val="18"/>
              </w:rPr>
              <w:t>Terceira faixa rodoviária</w:t>
            </w:r>
          </w:p>
        </w:tc>
        <w:tc>
          <w:tcPr>
            <w:tcW w:type="dxa" w:w="2340"/>
          </w:tcPr>
          <w:p>
            <w:r>
              <w:rPr>
                <w:sz w:val="18"/>
              </w:rPr>
              <w:t>30–50% de uma pista nova</w:t>
            </w:r>
          </w:p>
        </w:tc>
        <w:tc>
          <w:tcPr>
            <w:tcW w:type="dxa" w:w="2340"/>
          </w:tcPr>
          <w:p>
            <w:r>
              <w:rPr>
                <w:sz w:val="18"/>
              </w:rPr>
              <w:t>premissa nossa (1 faixa de 3,5–3,6 m + recomposição, sobre pista de 7,2–10 m)</w:t>
            </w:r>
          </w:p>
        </w:tc>
        <w:tc>
          <w:tcPr>
            <w:tcW w:type="dxa" w:w="2340"/>
          </w:tcPr>
          <w:p>
            <w:r>
              <w:rPr>
                <w:sz w:val="18"/>
              </w:rPr>
              <w:t>PREMISSA declarada</w:t>
            </w:r>
          </w:p>
        </w:tc>
      </w:tr>
      <w:tr>
        <w:tc>
          <w:tcPr>
            <w:tcW w:type="dxa" w:w="2340"/>
          </w:tcPr>
          <w:p>
            <w:r>
              <w:rPr>
                <w:sz w:val="18"/>
              </w:rPr>
              <w:t>Galeria de concreto</w:t>
            </w:r>
          </w:p>
        </w:tc>
        <w:tc>
          <w:tcPr>
            <w:tcW w:type="dxa" w:w="2340"/>
          </w:tcPr>
          <w:p>
            <w:r>
              <w:rPr>
                <w:sz w:val="18"/>
              </w:rPr>
              <w:t>2,4–4,0 m³ de concreto/m (mix simples–tripla) = 5,0–8,8 t/m</w:t>
            </w:r>
          </w:p>
        </w:tc>
        <w:tc>
          <w:tcPr>
            <w:tcW w:type="dxa" w:w="2340"/>
          </w:tcPr>
          <w:p>
            <w:r>
              <w:rPr>
                <w:sz w:val="18"/>
              </w:rPr>
              <w:t>geometria de seção (Anexo B) × insumos do concreto DER-ES 040237</w:t>
            </w:r>
          </w:p>
        </w:tc>
        <w:tc>
          <w:tcPr>
            <w:tcW w:type="dxa" w:w="2340"/>
          </w:tcPr>
          <w:p>
            <w:r>
              <w:rPr>
                <w:sz w:val="18"/>
              </w:rPr>
              <w:t>PREMISSA de seção × COMPOSICIONAL</w:t>
            </w:r>
          </w:p>
        </w:tc>
      </w:tr>
      <w:tr>
        <w:tc>
          <w:tcPr>
            <w:tcW w:type="dxa" w:w="2340"/>
          </w:tcPr>
          <w:p>
            <w:r>
              <w:rPr>
                <w:sz w:val="18"/>
              </w:rPr>
              <w:t>Agregados no concreto estrutural</w:t>
            </w:r>
          </w:p>
        </w:tc>
        <w:tc>
          <w:tcPr>
            <w:tcW w:type="dxa" w:w="2340"/>
          </w:tcPr>
          <w:p>
            <w:r>
              <w:rPr>
                <w:sz w:val="18"/>
              </w:rPr>
              <w:t>2,10–2,19 t/m³ (compra), sendo 1,14–1,20 t de brita</w:t>
            </w:r>
          </w:p>
        </w:tc>
        <w:tc>
          <w:tcPr>
            <w:tcW w:type="dxa" w:w="2340"/>
          </w:tcPr>
          <w:p>
            <w:r>
              <w:rPr>
                <w:sz w:val="18"/>
              </w:rPr>
              <w:t>composição DER-ES 040237 (FCK 25): brita 1+2 = 0,8022 m³ + areia 0,6594 m³</w:t>
            </w:r>
          </w:p>
        </w:tc>
        <w:tc>
          <w:tcPr>
            <w:tcW w:type="dxa" w:w="2340"/>
          </w:tcPr>
          <w:p>
            <w:r>
              <w:rPr>
                <w:sz w:val="18"/>
              </w:rPr>
              <w:t>OFICIAL (tabela referencial)</w:t>
            </w:r>
          </w:p>
        </w:tc>
      </w:tr>
      <w:tr>
        <w:tc>
          <w:tcPr>
            <w:tcW w:type="dxa" w:w="2340"/>
          </w:tcPr>
          <w:p>
            <w:r>
              <w:rPr>
                <w:sz w:val="18"/>
              </w:rPr>
              <w:t>Produtos de britagem no agregado das obras</w:t>
            </w:r>
          </w:p>
        </w:tc>
        <w:tc>
          <w:tcPr>
            <w:tcW w:type="dxa" w:w="2340"/>
          </w:tcPr>
          <w:p>
            <w:r>
              <w:rPr>
                <w:sz w:val="18"/>
              </w:rPr>
              <w:t>79,4%–94,1% (composicional por frente)</w:t>
            </w:r>
          </w:p>
        </w:tc>
        <w:tc>
          <w:tcPr>
            <w:tcW w:type="dxa" w:w="2340"/>
          </w:tcPr>
          <w:p>
            <w:r>
              <w:rPr>
                <w:sz w:val="18"/>
              </w:rPr>
              <w:t>Produção nacional ANEPAC (página Mercado): 2022 = 640 Mt, sendo 374 de areia e 266 de brita → 41,56%; 2023 → 41,59%; 2020 → 41,65% [Anexo A-2]</w:t>
            </w:r>
          </w:p>
        </w:tc>
        <w:tc>
          <w:tcPr>
            <w:tcW w:type="dxa" w:w="2340"/>
          </w:tcPr>
          <w:p>
            <w:r>
              <w:rPr>
                <w:sz w:val="18"/>
              </w:rPr>
              <w:t>SETORIAL — usada como PISO nas obras (em rodovia e intertravado a participação real de produtos de britagem é maior, 63–94%)</w:t>
            </w:r>
          </w:p>
        </w:tc>
      </w:tr>
      <w:tr>
        <w:tc>
          <w:tcPr>
            <w:tcW w:type="dxa" w:w="2340"/>
          </w:tcPr>
          <w:p>
            <w:r>
              <w:rPr>
                <w:sz w:val="18"/>
              </w:rPr>
              <w:t>Índice de consumo de brita per capita (demanda corrente)</w:t>
            </w:r>
          </w:p>
        </w:tc>
        <w:tc>
          <w:tcPr>
            <w:tcW w:type="dxa" w:w="2340"/>
          </w:tcPr>
          <w:p>
            <w:r>
              <w:rPr>
                <w:sz w:val="18"/>
              </w:rPr>
              <w:t>1,669 t/hab/ano</w:t>
            </w:r>
          </w:p>
        </w:tc>
        <w:tc>
          <w:tcPr>
            <w:tcW w:type="dxa" w:w="2340"/>
          </w:tcPr>
          <w:p>
            <w:r>
              <w:rPr>
                <w:sz w:val="18"/>
              </w:rPr>
              <w:t>OFICIAL: vendas declaradas à ANM no RAL 2025 (6.888.010,58 t) ÷ população ES; a convergência ANEPAC (4,1 × ~41,6% ≈ 1,7) é só checagem</w:t>
            </w:r>
          </w:p>
        </w:tc>
        <w:tc>
          <w:tcPr>
            <w:tcW w:type="dxa" w:w="2340"/>
          </w:tcPr>
          <w:p>
            <w:r>
              <w:rPr>
                <w:sz w:val="18"/>
              </w:rPr>
              <w:t>OFICIAL (ANM/RAL) — a demanda corrente NÃO depende da tabela setorial</w:t>
            </w:r>
          </w:p>
        </w:tc>
      </w:tr>
      <w:tr>
        <w:tc>
          <w:tcPr>
            <w:tcW w:type="dxa" w:w="2340"/>
          </w:tcPr>
          <w:p>
            <w:r>
              <w:rPr>
                <w:sz w:val="18"/>
              </w:rPr>
              <w:t>Densidades de conversão</w:t>
            </w:r>
          </w:p>
        </w:tc>
        <w:tc>
          <w:tcPr>
            <w:tcW w:type="dxa" w:w="2340"/>
          </w:tcPr>
          <w:p>
            <w:r>
              <w:rPr>
                <w:sz w:val="18"/>
              </w:rPr>
              <w:t>brita solta 1,42–1,50 · pó 1,55–1,65 · BGS compactada 2,15–2,25 · CBUQ 2,35–2,45 (94% agregado) t/m³</w:t>
            </w:r>
          </w:p>
        </w:tc>
        <w:tc>
          <w:tcPr>
            <w:tcW w:type="dxa" w:w="2340"/>
          </w:tcPr>
          <w:p>
            <w:r>
              <w:rPr>
                <w:sz w:val="18"/>
              </w:rPr>
              <w:t>referências técnicas usuais (DNIT/NBR); empolamentos das próprias composições DER-ES (1,2 · 1,05 · 1,1)</w:t>
            </w:r>
          </w:p>
        </w:tc>
        <w:tc>
          <w:tcPr>
            <w:tcW w:type="dxa" w:w="2340"/>
          </w:tcPr>
          <w:p>
            <w:r>
              <w:rPr>
                <w:sz w:val="18"/>
              </w:rPr>
              <w:t>TÉCNICA declarada</w:t>
            </w:r>
          </w:p>
        </w:tc>
      </w:tr>
    </w:tbl>
    <w:p>
      <w:pPr>
        <w:spacing w:after="120" w:before="160"/>
      </w:pPr>
      <w:r>
        <w:rPr>
          <w:b/>
          <w:i w:val="0"/>
          <w:sz w:val="22"/>
        </w:rPr>
        <w:t>Mapa produto × tipo de obra (participação nos agregados de cada frente)</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Tipo de obra</w:t>
            </w:r>
          </w:p>
        </w:tc>
        <w:tc>
          <w:tcPr>
            <w:tcW w:type="dxa" w:w="4680"/>
          </w:tcPr>
          <w:p>
            <w:r>
              <w:rPr>
                <w:b/>
                <w:sz w:val="18"/>
              </w:rPr>
              <w:t>Produtos da CIPREM e participação aproximada</w:t>
            </w:r>
          </w:p>
        </w:tc>
      </w:tr>
      <w:tr>
        <w:tc>
          <w:tcPr>
            <w:tcW w:type="dxa" w:w="4680"/>
          </w:tcPr>
          <w:p>
            <w:r>
              <w:rPr>
                <w:sz w:val="18"/>
              </w:rPr>
              <w:t>Galerias e pontes (concreto estrutural)</w:t>
            </w:r>
          </w:p>
        </w:tc>
        <w:tc>
          <w:tcPr>
            <w:tcW w:type="dxa" w:w="4680"/>
          </w:tcPr>
          <w:p>
            <w:r>
              <w:rPr>
                <w:sz w:val="18"/>
              </w:rPr>
              <w:t>brita 1 e brita 2: 54–57% da massa de agregados do concreto (composição 040237); areia 43–46% — substituível em parte por pó/areia industrial da própria pedreira</w:t>
            </w:r>
          </w:p>
        </w:tc>
      </w:tr>
      <w:tr>
        <w:tc>
          <w:tcPr>
            <w:tcW w:type="dxa" w:w="4680"/>
          </w:tcPr>
          <w:p>
            <w:r>
              <w:rPr>
                <w:sz w:val="18"/>
              </w:rPr>
              <w:t>Bases e sub-bases (rodovias e vias urbanas)</w:t>
            </w:r>
          </w:p>
        </w:tc>
        <w:tc>
          <w:tcPr>
            <w:tcW w:type="dxa" w:w="4680"/>
          </w:tcPr>
          <w:p>
            <w:r>
              <w:rPr>
                <w:sz w:val="18"/>
              </w:rPr>
              <w:t>BGS: 100% produto de britagem</w:t>
            </w:r>
          </w:p>
        </w:tc>
      </w:tr>
      <w:tr>
        <w:tc>
          <w:tcPr>
            <w:tcW w:type="dxa" w:w="4680"/>
          </w:tcPr>
          <w:p>
            <w:r>
              <w:rPr>
                <w:sz w:val="18"/>
              </w:rPr>
              <w:t>Capas asfálticas (CBUQ)</w:t>
            </w:r>
          </w:p>
        </w:tc>
        <w:tc>
          <w:tcPr>
            <w:tcW w:type="dxa" w:w="4680"/>
          </w:tcPr>
          <w:p>
            <w:r>
              <w:rPr>
                <w:sz w:val="18"/>
              </w:rPr>
              <w:t>pedrisco + pó de pedra: ~94% da massa da mistura</w:t>
            </w:r>
          </w:p>
        </w:tc>
      </w:tr>
      <w:tr>
        <w:tc>
          <w:tcPr>
            <w:tcW w:type="dxa" w:w="4680"/>
          </w:tcPr>
          <w:p>
            <w:r>
              <w:rPr>
                <w:sz w:val="18"/>
              </w:rPr>
              <w:t>Pavimento intertravado</w:t>
            </w:r>
          </w:p>
        </w:tc>
        <w:tc>
          <w:tcPr>
            <w:tcW w:type="dxa" w:w="4680"/>
          </w:tcPr>
          <w:p>
            <w:r>
              <w:rPr>
                <w:sz w:val="18"/>
              </w:rPr>
              <w:t>pó de pedra no colchão e rejunte (0,10 m³/m², composição 200206); gravilha/pedrisco + pó nos blocos, via fábricas de pré-moldados (48 und/m²)</w:t>
            </w:r>
          </w:p>
        </w:tc>
      </w:tr>
      <w:tr>
        <w:tc>
          <w:tcPr>
            <w:tcW w:type="dxa" w:w="4680"/>
          </w:tcPr>
          <w:p>
            <w:r>
              <w:rPr>
                <w:sz w:val="18"/>
              </w:rPr>
              <w:t>Lastros, drenos e bota-espera</w:t>
            </w:r>
          </w:p>
        </w:tc>
        <w:tc>
          <w:tcPr>
            <w:tcW w:type="dxa" w:w="4680"/>
          </w:tcPr>
          <w:p>
            <w:r>
              <w:rPr>
                <w:sz w:val="18"/>
              </w:rPr>
              <w:t>brita 2/3 e rachão (composições 200223, 030203, 050115)</w:t>
            </w:r>
          </w:p>
        </w:tc>
      </w:tr>
    </w:tbl>
    <w:p>
      <w:pPr>
        <w:spacing w:after="120"/>
      </w:pPr>
      <w:r>
        <w:rPr>
          <w:b w:val="0"/>
          <w:i w:val="0"/>
          <w:sz w:val="19"/>
        </w:rPr>
        <w:t>Leitura final para o analista: o que é OFICIAL sustenta o esqueleto (quantidades contratuais das obras; composições DER-ES/SINAPI; índice RAL/ANM da demanda corrente); o que é SETORIAL entra como fator médio validado por via independente; o que é PREMISSA está nomeado, com faixa e efeito testável. Nenhum coeficiente é “de memória”: cada linha tem origem apontada, e as evidências de fonte estão no Anexo A-2.</w:t>
      </w:r>
    </w:p>
    <w:p>
      <w:pPr>
        <w:spacing w:after="120" w:before="200"/>
      </w:pPr>
      <w:r>
        <w:rPr>
          <w:b/>
          <w:i w:val="0"/>
          <w:sz w:val="26"/>
        </w:rPr>
        <w:t>Anexo A-2 — evidências das fontes dos coeficientes (coleta de 18/08/2026)</w:t>
      </w:r>
    </w:p>
    <w:p>
      <w:pPr>
        <w:spacing w:after="120"/>
      </w:pPr>
      <w:r>
        <w:rPr>
          <w:b w:val="0"/>
          <w:i w:val="0"/>
          <w:sz w:val="17"/>
        </w:rPr>
        <w:t>Data da pesquisa: 2026-08-18.</w:t>
      </w:r>
    </w:p>
    <w:p>
      <w:pPr>
        <w:spacing w:after="120"/>
      </w:pPr>
      <w:r>
        <w:rPr>
          <w:b w:val="0"/>
          <w:i w:val="0"/>
          <w:sz w:val="17"/>
        </w:rPr>
        <w:t>Método: WebSearch exclusivamente (WebFetch bloqueado para TODOS os domínios testados, inclusive a exceção autorizada `sitefiespstorage.blob.core.windows.net` — erro EGRESS_BLOCKED). Todas as evidências abaixo vêm de snippets/resumos de resultados de busca, com a URL de origem indicada. Onde o trecho é a leitura consolidada do buscador sobre a página indicada (e não texto copiado da página), está marcado "(via snippet; site bloqueado)".</w:t>
      </w:r>
    </w:p>
    <w:p>
      <w:pPr>
        <w:spacing w:after="120"/>
      </w:pPr>
      <w:r>
        <w:rPr>
          <w:b w:val="0"/>
          <w:i w:val="0"/>
          <w:sz w:val="17"/>
        </w:rPr>
      </w:r>
    </w:p>
    <w:p>
      <w:pPr>
        <w:spacing w:after="120" w:before="160"/>
      </w:pPr>
      <w:r>
        <w:rPr>
          <w:b/>
          <w:i w:val="0"/>
          <w:sz w:val="22"/>
        </w:rPr>
        <w:t>Seção 1 — Tabela de consumo por tipo de obra</w:t>
      </w:r>
    </w:p>
    <w:p>
      <w:pPr>
        <w:spacing w:after="120"/>
      </w:pPr>
      <w:r>
        <w:rPr>
          <w:b w:val="0"/>
          <w:i w:val="0"/>
          <w:sz w:val="17"/>
        </w:rPr>
        <w:t>### [C01] Apresentação de Fernando M. Valverde ao Senado (Comissão de Infraestrutura, 2009) — metrô 50.000 t/km e manutenção de rodovia 3.000 t/km</w:t>
      </w:r>
    </w:p>
    <w:p>
      <w:pPr>
        <w:spacing w:after="120"/>
      </w:pPr>
      <w:r>
        <w:rPr>
          <w:b w:val="0"/>
          <w:i w:val="0"/>
          <w:sz w:val="17"/>
        </w:rPr>
        <w:t>URL: https://www.senado.gov.br/comissoes/ci/ap/ap20090511_fernandovalverde.pdf</w:t>
      </w:r>
    </w:p>
    <w:p>
      <w:pPr>
        <w:spacing w:after="120"/>
      </w:pPr>
      <w:r>
        <w:rPr>
          <w:b w:val="0"/>
          <w:i w:val="0"/>
          <w:sz w:val="17"/>
        </w:rPr>
        <w:t>Título indexado pelo buscador:</w:t>
      </w:r>
    </w:p>
    <w:p>
      <w:pPr>
        <w:spacing w:after="120"/>
      </w:pPr>
      <w:r>
        <w:rPr>
          <w:b w:val="0"/>
          <w:i w:val="0"/>
          <w:color w:val="595959"/>
          <w:sz w:val="17"/>
        </w:rPr>
        <w:t>"Fernando M. Valverde Osvaldo Yutaka Tsuchiya Brasília, 5 de novembro de 2009"</w:t>
      </w:r>
    </w:p>
    <w:p>
      <w:pPr>
        <w:spacing w:after="120"/>
      </w:pPr>
      <w:r>
        <w:rPr>
          <w:b w:val="0"/>
          <w:i w:val="0"/>
          <w:sz w:val="17"/>
        </w:rPr>
        <w:t>Trecho (leitura do buscador sobre o PDF, via snippet; site bloqueado):</w:t>
      </w:r>
    </w:p>
    <w:p>
      <w:pPr>
        <w:spacing w:after="120"/>
      </w:pPr>
      <w:r>
        <w:rPr>
          <w:b w:val="0"/>
          <w:i w:val="0"/>
          <w:color w:val="595959"/>
          <w:sz w:val="17"/>
        </w:rPr>
        <w:t>"the search results show a presentation containing data indicating that metro construction requires 50,000 tonnes per 1km, while road maintenance requires 3,000 tonnes per 1km. The document appears to be a presentation on the Aggregate Production Chain in Civil Construction, with information sourced from ANEPAC… delivered by Fernando M. Valverde to the Brazilian Senate (Senado) on November 5, 2009."</w:t>
      </w:r>
    </w:p>
    <w:p>
      <w:pPr>
        <w:spacing w:after="120"/>
      </w:pPr>
      <w:r>
        <w:rPr>
          <w:b w:val="0"/>
          <w:i w:val="0"/>
          <w:sz w:val="17"/>
        </w:rPr>
        <w:t>Em outra busca, a mesma URL foi lida assim (via snippet; site bloqueado):</w:t>
      </w:r>
    </w:p>
    <w:p>
      <w:pPr>
        <w:spacing w:after="120"/>
      </w:pPr>
      <w:r>
        <w:rPr>
          <w:b w:val="0"/>
          <w:i w:val="0"/>
          <w:color w:val="595959"/>
          <w:sz w:val="17"/>
        </w:rPr>
        <w:t>"Street maintenance: 100 tons per 1 km; Road maintenance: 9,800 tons per 1 km; Metro: 50,000 tons per 1 km"</w:t>
      </w:r>
    </w:p>
    <w:p>
      <w:pPr>
        <w:spacing w:after="120"/>
      </w:pPr>
      <w:r>
        <w:rPr>
          <w:b w:val="0"/>
          <w:i w:val="0"/>
          <w:sz w:val="17"/>
        </w:rPr>
        <w:t>Leitura: é a fonte-alvo do estudo — assinada por Valverde &amp; Tsuchiya (ANEPAC). O buscador confirma nela o metrô 50.000 t/km e a manutenção 3.000 t/km; numa das leituras o 9.800 aparece rotulado como "road maintenance" (provável troca de rótulo do resumidor: nas demais fontes 9.800 = CONSTRUÇÃO de 1 km de estrada pavimentada e 3.000 = manutenção). Atenção à data: a URL sugere 11/05/2009, mas o título interno do PDF diz "5 de novembro de 2009" (ambiguidade 05/11 vs 11/05 — a agenda de audiências da CI em legis.senado.leg.br/comissoes/audiencias?codcol=59 permite tirar a prova).</w:t>
      </w:r>
    </w:p>
    <w:p>
      <w:pPr>
        <w:spacing w:after="120"/>
      </w:pPr>
      <w:r>
        <w:rPr>
          <w:b w:val="0"/>
          <w:i w:val="0"/>
          <w:sz w:val="17"/>
        </w:rPr>
        <w:t>### [C02] "Visão da Mineração de Agregados no Brasil" (ANEPAC) — transcript SlidePlayer com a tabela slide a slide</w:t>
      </w:r>
    </w:p>
    <w:p>
      <w:pPr>
        <w:spacing w:after="120"/>
      </w:pPr>
      <w:r>
        <w:rPr>
          <w:b w:val="0"/>
          <w:i w:val="0"/>
          <w:sz w:val="17"/>
        </w:rPr>
        <w:t>URL: http://slideplayer.com.br/slide/1351512</w:t>
      </w:r>
    </w:p>
    <w:p>
      <w:pPr>
        <w:spacing w:after="120"/>
      </w:pPr>
      <w:r>
        <w:rPr>
          <w:b w:val="0"/>
          <w:i w:val="0"/>
          <w:sz w:val="17"/>
        </w:rPr>
        <w:t>Trecho (leitura do transcript pelo buscador, via snippet):</w:t>
      </w:r>
    </w:p>
    <w:p>
      <w:pPr>
        <w:spacing w:after="120"/>
      </w:pPr>
      <w:r>
        <w:rPr>
          <w:b w:val="0"/>
          <w:i w:val="0"/>
          <w:color w:val="595959"/>
          <w:sz w:val="17"/>
        </w:rPr>
        <w:t>"The presentation includes a consumption analysis by application showing dimensions and tonnages for different uses, including: auto-construction (35 m², 21 tons), popular housing (50 m², 68 tons), buildings (1000 m², 1360 tons), standard school works (1120 m², 1675 tons), urban paving (1km/10m: 3250 tons), and paved roads."</w:t>
      </w:r>
    </w:p>
    <w:p>
      <w:pPr>
        <w:spacing w:after="120"/>
      </w:pPr>
      <w:r>
        <w:rPr>
          <w:b w:val="0"/>
          <w:i w:val="0"/>
          <w:sz w:val="17"/>
        </w:rPr>
        <w:t>Leitura: é a tabela do estudo quase linha a linha — casa popular 68 t/50 m², edifício 1.360 t/1.000 m² — e acrescenta linhas que o estudo não usa (autoconstrução 21 t/35 m²; escola padrão 1.675 t/1.120 m²). IMPORTANTE: aqui pavimentação urbana aparece como valor único 3.250 t (1 km, pista 10 m), não como faixa 2.000–3.250.</w:t>
      </w:r>
    </w:p>
    <w:p>
      <w:pPr>
        <w:spacing w:after="120"/>
      </w:pPr>
      <w:r>
        <w:rPr>
          <w:b w:val="0"/>
          <w:i w:val="0"/>
          <w:sz w:val="17"/>
        </w:rPr>
        <w:t>### [C03] O "Diagnóstico do setor de agregados" hospedado na UFSC é o mesmo documento ANEPAC — autoria e data fixadas</w:t>
      </w:r>
    </w:p>
    <w:p>
      <w:pPr>
        <w:spacing w:after="120"/>
      </w:pPr>
      <w:r>
        <w:rPr>
          <w:b w:val="0"/>
          <w:i w:val="0"/>
          <w:sz w:val="17"/>
        </w:rPr>
        <w:t>URL: https://rodoviasverdes.paginas.ufsc.br/files/2010/03/Diagnostico-do-setor-de-agregados.pdf (variante: https://rodoviasverdes.ufsc.br/files/2010/03/Diagnostico-do-setor-de-agregados.pdf)</w:t>
      </w:r>
    </w:p>
    <w:p>
      <w:pPr>
        <w:spacing w:after="120"/>
      </w:pPr>
      <w:r>
        <w:rPr>
          <w:b w:val="0"/>
          <w:i w:val="0"/>
          <w:sz w:val="17"/>
        </w:rPr>
        <w:t>Título indexado:</w:t>
      </w:r>
    </w:p>
    <w:p>
      <w:pPr>
        <w:spacing w:after="120"/>
      </w:pPr>
      <w:r>
        <w:rPr>
          <w:b w:val="0"/>
          <w:i w:val="0"/>
          <w:color w:val="595959"/>
          <w:sz w:val="17"/>
        </w:rPr>
        <w:t>"Visão da Mineração de Agregados no Brasil: Diagnóstico, …" / "Associação Nacional de Entidades de Produtores de…"</w:t>
      </w:r>
    </w:p>
    <w:p>
      <w:pPr>
        <w:spacing w:after="120"/>
      </w:pPr>
      <w:r>
        <w:rPr>
          <w:b w:val="0"/>
          <w:i w:val="0"/>
          <w:sz w:val="17"/>
        </w:rPr>
        <w:t>Trecho (leitura do buscador, via snippet; PDF não abrível):</w:t>
      </w:r>
    </w:p>
    <w:p>
      <w:pPr>
        <w:spacing w:after="120"/>
      </w:pPr>
      <w:r>
        <w:rPr>
          <w:b w:val="0"/>
          <w:i w:val="0"/>
          <w:color w:val="595959"/>
          <w:sz w:val="17"/>
        </w:rPr>
        <w:t>"The document 'Visão da Mineração de Agregados no Brasil: Diagnóstico, Tendências e Desafios' was authored by Fernando M. Valverde and Osvaldo Yutaka Tsuchiya in September 2007. The publication, produced by the Associação Nacional de Entidades de Produtores de Agregados para Construção Civil…"</w:t>
      </w:r>
    </w:p>
    <w:p>
      <w:pPr>
        <w:spacing w:after="120"/>
      </w:pPr>
      <w:r>
        <w:rPr>
          <w:b w:val="0"/>
          <w:i w:val="0"/>
          <w:sz w:val="17"/>
        </w:rPr>
        <w:t>Leitura: fecha o circuito de atribuição — o arquivo da UFSC (rodoviasverdes) NÃO é um estudo da UFSC: é a publicação ANEPAC de setembro/2007, de Valverde &amp; Tsuchiya, que a apresentação de 2009 no Senado [C01] reaproveita. Quem cita "diagnóstico UFSC" está citando ANEPAC 2007.</w:t>
      </w:r>
    </w:p>
    <w:p>
      <w:pPr>
        <w:spacing w:after="120"/>
      </w:pPr>
      <w:r>
        <w:rPr>
          <w:b w:val="0"/>
          <w:i w:val="0"/>
          <w:sz w:val="17"/>
        </w:rPr>
        <w:t>### [C04] Página oficial ANM "Agregados para a Construção Civil" — versão da tabela com FAIXA 2.000–3.250 e rodovia 9.500 (não 9.800)</w:t>
      </w:r>
    </w:p>
    <w:p>
      <w:pPr>
        <w:spacing w:after="120"/>
      </w:pPr>
      <w:r>
        <w:rPr>
          <w:b w:val="0"/>
          <w:i w:val="0"/>
          <w:sz w:val="17"/>
        </w:rPr>
        <w:t>URL: https://www.gov.br/anm/pt-br/assuntos/economia-mineral/publicacoes/outras-publicacoes-1/8-1-2013-agregados-minerais (variante indexada: …/8-1-agregados-minerais)</w:t>
      </w:r>
    </w:p>
    <w:p>
      <w:pPr>
        <w:spacing w:after="120"/>
      </w:pPr>
      <w:r>
        <w:rPr>
          <w:b w:val="0"/>
          <w:i w:val="0"/>
          <w:sz w:val="17"/>
        </w:rPr>
        <w:t>Trecho (leitura do buscador em PT sobre essa página, via snippet; site bloqueado):</w:t>
      </w:r>
    </w:p>
    <w:p>
      <w:pPr>
        <w:spacing w:after="120"/>
      </w:pPr>
      <w:r>
        <w:rPr>
          <w:b w:val="0"/>
          <w:i w:val="0"/>
          <w:color w:val="595959"/>
          <w:sz w:val="17"/>
        </w:rPr>
        <w:t>"um quilômetro de estrada vicinal consome 2.800 toneladas de agregados. Para fins de comparação, um quilômetro de via pública urbana de 10 m de largura consome entre 2.000 a 3.250 toneladas, enquanto uma estrada pavimentada normal consome cerca de 9.500 toneladas por quilômetro."</w:t>
      </w:r>
    </w:p>
    <w:p>
      <w:pPr>
        <w:spacing w:after="120"/>
      </w:pPr>
      <w:r>
        <w:rPr>
          <w:b w:val="0"/>
          <w:i w:val="0"/>
          <w:sz w:val="17"/>
        </w:rPr>
        <w:t>E, em outra consulta sobre a mesma página (via snippet):</w:t>
      </w:r>
    </w:p>
    <w:p>
      <w:pPr>
        <w:spacing w:after="120"/>
      </w:pPr>
      <w:r>
        <w:rPr>
          <w:b w:val="0"/>
          <w:i w:val="0"/>
          <w:color w:val="595959"/>
          <w:sz w:val="17"/>
        </w:rPr>
        <w:t>"In popular housing, a basic unit of 50 m² consumes 68 tons; a public building of 1,000 m², 1,360 tons; a standard school of 1,120 m², 1,675 tons."</w:t>
      </w:r>
    </w:p>
    <w:p>
      <w:pPr>
        <w:spacing w:after="120"/>
      </w:pPr>
      <w:r>
        <w:rPr>
          <w:b w:val="0"/>
          <w:i w:val="0"/>
          <w:sz w:val="17"/>
        </w:rPr>
        <w:t>Leitura: a linhagem oficial ANM/DNPM ("Agregados Minerais", texto de 2013 da série de publicações de economia mineral) carrega: casa popular 68 t; edifício público 1.360 t; escola 1.675 t; via urbana 10 m = 2.000 a 3.250 t/km (é daqui que vem a FAIXA usada no estudo); vicinal 2.800 t/km; e estrada pavimentada normal ≈ 9.500 t/km — variante de valor frente aos 9.800 do estudo.</w:t>
      </w:r>
    </w:p>
    <w:p>
      <w:pPr>
        <w:spacing w:after="120"/>
      </w:pPr>
      <w:r>
        <w:rPr>
          <w:b w:val="0"/>
          <w:i w:val="0"/>
          <w:sz w:val="17"/>
        </w:rPr>
        <w:t>### [C05] CPRM/Serviço Geológico do Brasil — "Projeto Materiais para a Construção Civil" carrega o 9.800</w:t>
      </w:r>
    </w:p>
    <w:p>
      <w:pPr>
        <w:spacing w:after="120"/>
      </w:pPr>
      <w:r>
        <w:rPr>
          <w:b w:val="0"/>
          <w:i w:val="0"/>
          <w:sz w:val="17"/>
        </w:rPr>
        <w:t>URL: https://rigeo.sgb.gov.br/server/api/core/bitstreams/48b729db-726c-4fe9-9418-a87ccff715af/content</w:t>
      </w:r>
    </w:p>
    <w:p>
      <w:pPr>
        <w:spacing w:after="120"/>
      </w:pPr>
      <w:r>
        <w:rPr>
          <w:b w:val="0"/>
          <w:i w:val="0"/>
          <w:sz w:val="17"/>
        </w:rPr>
        <w:t>Trecho (leitura do buscador, via snippet; site bloqueado):</w:t>
      </w:r>
    </w:p>
    <w:p>
      <w:pPr>
        <w:spacing w:after="120"/>
      </w:pPr>
      <w:r>
        <w:rPr>
          <w:b w:val="0"/>
          <w:i w:val="0"/>
          <w:color w:val="595959"/>
          <w:sz w:val="17"/>
        </w:rPr>
        <w:t>"approximately 9,800 tons of aggregates are consumed for each kilometer of paved road. The document also provides related consumption data… approximately 50,000 tons of aggregates for stadium [provável leitura errada de 'metrô'] construction and 68 tons for each 50 m² house. This appears to be from a 2002 mineral summary document about construction materials."</w:t>
      </w:r>
    </w:p>
    <w:p>
      <w:pPr>
        <w:spacing w:after="120"/>
      </w:pPr>
      <w:r>
        <w:rPr>
          <w:b w:val="0"/>
          <w:i w:val="0"/>
          <w:sz w:val="17"/>
        </w:rPr>
        <w:t>Leitura: documento público (SGB/CPRM) com o valor 9.800 t/km para estrada pavimentada + 68 t casa + 50.000 t, remetendo a "sumário mineral 2002" como origem. O rótulo "stadium" para o 50.000 é quase certamente erro do resumidor (todas as demais fontes dizem metrô); manter cautela.</w:t>
      </w:r>
    </w:p>
    <w:p>
      <w:pPr>
        <w:spacing w:after="120"/>
      </w:pPr>
      <w:r>
        <w:rPr>
          <w:b w:val="0"/>
          <w:i w:val="0"/>
          <w:sz w:val="17"/>
        </w:rPr>
        <w:t>### [C06] Artigo "Agregados: Um Mercado Mundial" (Catálogo de Mineração) — pacote completo 50.000/9.800/68/1.360 em um só lugar</w:t>
      </w:r>
    </w:p>
    <w:p>
      <w:pPr>
        <w:spacing w:after="120"/>
      </w:pPr>
      <w:r>
        <w:rPr>
          <w:b w:val="0"/>
          <w:i w:val="0"/>
          <w:sz w:val="17"/>
        </w:rPr>
        <w:t>URL: https://catalogodemineracao.com.br/artigo/agregados-um-mercado-mundial.html</w:t>
      </w:r>
    </w:p>
    <w:p>
      <w:pPr>
        <w:spacing w:after="120"/>
      </w:pPr>
      <w:r>
        <w:rPr>
          <w:b w:val="0"/>
          <w:i w:val="0"/>
          <w:sz w:val="17"/>
        </w:rPr>
        <w:t>Trecho (leitura do buscador, via snippet):</w:t>
      </w:r>
    </w:p>
    <w:p>
      <w:pPr>
        <w:spacing w:after="120"/>
      </w:pPr>
      <w:r>
        <w:rPr>
          <w:b w:val="0"/>
          <w:i w:val="0"/>
          <w:color w:val="595959"/>
          <w:sz w:val="17"/>
        </w:rPr>
        <w:t>"for each kilometer of metro constructed worldwide, 50,000 tons of aggregates are consumed; each kilometer of paved road consumes approximately 9,800 tons; popular houses of 50 m² consume 68 tons; and buildings, schools, and hospitals consume 1,360 tons per 1,000 m²."</w:t>
      </w:r>
    </w:p>
    <w:p>
      <w:pPr>
        <w:spacing w:after="120"/>
      </w:pPr>
      <w:r>
        <w:rPr>
          <w:b w:val="0"/>
          <w:i w:val="0"/>
          <w:sz w:val="17"/>
        </w:rPr>
        <w:t>Leitura: reprodução setorial (não oficial) da tabela na variante do estudo: metrô 50.000 + estrada 9.800 + casa 68 + edifício 1.360/1.000 m². Confirma que 9.800 e 9.500 circulam como variantes da MESMA linha.</w:t>
      </w:r>
    </w:p>
    <w:p>
      <w:pPr>
        <w:spacing w:after="120"/>
      </w:pPr>
      <w:r>
        <w:rPr>
          <w:b w:val="0"/>
          <w:i w:val="0"/>
          <w:sz w:val="17"/>
        </w:rPr>
        <w:t>### [C07] Sumários Minerais DNPM/ANM 2000 e 2002 (capítulo Agregados) — URLs da linhagem oficial</w:t>
      </w:r>
    </w:p>
    <w:p>
      <w:pPr>
        <w:spacing w:after="120"/>
      </w:pPr>
      <w:r>
        <w:rPr>
          <w:b w:val="0"/>
          <w:i w:val="0"/>
          <w:sz w:val="17"/>
        </w:rPr>
        <w:t>URLs:</w:t>
      </w:r>
    </w:p>
    <w:p>
      <w:pPr>
        <w:spacing w:after="120"/>
      </w:pPr>
      <w:r>
        <w:rPr>
          <w:b w:val="0"/>
          <w:i w:val="0"/>
          <w:sz w:val="17"/>
        </w:rPr>
        <w:t>https://www.gov.br/anm/pt-br/assuntos/economia-mineral/publicacoes/sumario-mineral/sumario-mineral-brasileiro-2002/agregados_revisado_ (título indexado: "AGREGADOS PARA CONSTRUÇÃO CIVIL 28")</w:t>
      </w:r>
    </w:p>
    <w:p>
      <w:pPr>
        <w:spacing w:after="120"/>
      </w:pPr>
      <w:r>
        <w:rPr>
          <w:b w:val="0"/>
          <w:i w:val="0"/>
          <w:sz w:val="17"/>
        </w:rPr>
        <w:t>https://www.gov.br/anm/pt-br/assuntos/economia-mineral/publicacoes/sumario-mineral/sumario-brasileiro-mineral-2000/agregados-para-construcao-civil/view</w:t>
      </w:r>
    </w:p>
    <w:p>
      <w:pPr>
        <w:spacing w:after="120"/>
      </w:pPr>
      <w:r>
        <w:rPr>
          <w:b w:val="0"/>
          <w:i w:val="0"/>
          <w:sz w:val="17"/>
        </w:rPr>
        <w:t>Trecho (leitura do buscador em busca por "9.800" + Sumário, via snippet; site bloqueado):</w:t>
      </w:r>
    </w:p>
    <w:p>
      <w:pPr>
        <w:spacing w:after="120"/>
      </w:pPr>
      <w:r>
        <w:rPr>
          <w:b w:val="0"/>
          <w:i w:val="0"/>
          <w:color w:val="595959"/>
          <w:sz w:val="17"/>
        </w:rPr>
        <w:t>"For each kilometer of paved road, approximately 9,800 tons of aggregates are consumed. This figure appears consistently across multiple sources discussing construction aggregate consumption data… The results also show that approximately 50,000 tons of aggregates are consumed for each kilometer of subway construction, about 68 tons for popular 50m² houses, and about 1,360 tons for each 1,000m² of buildings."</w:t>
      </w:r>
    </w:p>
    <w:p>
      <w:pPr>
        <w:spacing w:after="120"/>
      </w:pPr>
      <w:r>
        <w:rPr>
          <w:b w:val="0"/>
          <w:i w:val="0"/>
          <w:sz w:val="17"/>
        </w:rPr>
        <w:t>Leitura: o capítulo Agregados dos Sumários 2000/2002 apareceu repetidamente nas buscas pelos valores 9.800/50.000/68/1.360; o buscador associa o conjunto à linhagem Sumário Mineral. Não foi possível copiar a frase exata da página gov.br (bloqueada), mas as duas URLs acima são os alvos citáveis.</w:t>
      </w:r>
    </w:p>
    <w:p>
      <w:pPr>
        <w:spacing w:after="120"/>
      </w:pPr>
      <w:r>
        <w:rPr>
          <w:b w:val="0"/>
          <w:i w:val="0"/>
          <w:sz w:val="17"/>
        </w:rPr>
        <w:t>### [C08] Balanço Mineral Brasileiro 2001 (capítulo Agregados) — apontado como origem do "1.360 t / edifício público de 1.000 m²"</w:t>
      </w:r>
    </w:p>
    <w:p>
      <w:pPr>
        <w:spacing w:after="120"/>
      </w:pPr>
      <w:r>
        <w:rPr>
          <w:b w:val="0"/>
          <w:i w:val="0"/>
          <w:sz w:val="17"/>
        </w:rPr>
        <w:t>URL: https://www.gov.br/anm/pt-br/centrais-de-conteudos/anm/publicacoes-economia-mineral/arquivos/agregados-para-contrucao-civil.pdf (título indexado: "Balanço Mineral Brasileiro 2001 1 AGREGADOS PARA CONSTRUÇÃO CIVIL")</w:t>
      </w:r>
    </w:p>
    <w:p>
      <w:pPr>
        <w:spacing w:after="120"/>
      </w:pPr>
      <w:r>
        <w:rPr>
          <w:b w:val="0"/>
          <w:i w:val="0"/>
          <w:sz w:val="17"/>
        </w:rPr>
        <w:t>Trecho (leitura do buscador, via snippet; site bloqueado):</w:t>
      </w:r>
    </w:p>
    <w:p>
      <w:pPr>
        <w:spacing w:after="120"/>
      </w:pPr>
      <w:r>
        <w:rPr>
          <w:b w:val="0"/>
          <w:i w:val="0"/>
          <w:color w:val="595959"/>
          <w:sz w:val="17"/>
        </w:rPr>
        <w:t>"A public building of 1,000 m² consumes 1,360 tons of aggregates. This data comes from the Brazilian Mineral Balance (Balanço Mineral Brasileiro) from 2001, a government document about aggregates for civil construction."</w:t>
      </w:r>
    </w:p>
    <w:p>
      <w:pPr>
        <w:spacing w:after="120"/>
      </w:pPr>
      <w:r>
        <w:rPr>
          <w:b w:val="0"/>
          <w:i w:val="0"/>
          <w:sz w:val="17"/>
        </w:rPr>
        <w:t>Complemento da mesma fonte (via snippet):</w:t>
      </w:r>
    </w:p>
    <w:p>
      <w:pPr>
        <w:spacing w:after="120"/>
      </w:pPr>
      <w:r>
        <w:rPr>
          <w:b w:val="0"/>
          <w:i w:val="0"/>
          <w:color w:val="595959"/>
          <w:sz w:val="17"/>
        </w:rPr>
        <w:t>"Brazil had aggregate reserves of approximately 20.5 billion tons, with annual consumption of around 340 million tons."</w:t>
      </w:r>
    </w:p>
    <w:p>
      <w:pPr>
        <w:spacing w:after="120"/>
      </w:pPr>
      <w:r>
        <w:rPr>
          <w:b w:val="0"/>
          <w:i w:val="0"/>
          <w:sz w:val="17"/>
        </w:rPr>
        <w:t>Leitura: o Balanço Mineral 2001 é o documento oficial mais antigo localizado com a linha "edifício público 1.000 m² = 1.360 t" — anterior ao diagnóstico ANEPAC 2007. A cadeia provável é: Balanço/Sumário DNPM (2000–2002) → ANEPAC (Valverde &amp; Tsuchiya 2007) → Senado 2009 → réplicas (CETEM, CPRM, CODEMGE, imprensa setorial).</w:t>
      </w:r>
    </w:p>
    <w:p>
      <w:pPr>
        <w:spacing w:after="120"/>
      </w:pPr>
      <w:r>
        <w:rPr>
          <w:b w:val="0"/>
          <w:i w:val="0"/>
          <w:sz w:val="17"/>
        </w:rPr>
        <w:t>### [C09] Capítulo "Mercado de Agregados no Brasil" — Gilson Ezequiel Ferreira (CETEM), no Manual de Agregados</w:t>
      </w:r>
    </w:p>
    <w:p>
      <w:pPr>
        <w:spacing w:after="120"/>
      </w:pPr>
      <w:r>
        <w:rPr>
          <w:b w:val="0"/>
          <w:i w:val="0"/>
          <w:sz w:val="17"/>
        </w:rPr>
        <w:t>URLs:</w:t>
      </w:r>
    </w:p>
    <w:p>
      <w:pPr>
        <w:spacing w:after="120"/>
      </w:pPr>
      <w:r>
        <w:rPr>
          <w:b w:val="0"/>
          <w:i w:val="0"/>
          <w:sz w:val="17"/>
        </w:rPr>
        <w:t>https://mineralis.cetem.gov.br/bitstream/cetem/2045/1/Cap%202%20Mercado%20de%20Agregados%20no%20Brasil.pdf (título indexado: "CAPÍTULO 2 MERCADO DE AGREGADOS NO BRASIL Gilson Ezequiel Ferreira")</w:t>
      </w:r>
    </w:p>
    <w:p>
      <w:pPr>
        <w:spacing w:after="120"/>
      </w:pPr>
      <w:r>
        <w:rPr>
          <w:b w:val="0"/>
          <w:i w:val="0"/>
          <w:sz w:val="17"/>
        </w:rPr>
        <w:t>Manual completo: https://mineralis.cetem.gov.br/bitstream/cetem/2043/1/manual_de_agregados_para_construcao_civil.pdf</w:t>
      </w:r>
    </w:p>
    <w:p>
      <w:pPr>
        <w:spacing w:after="120"/>
      </w:pPr>
      <w:r>
        <w:rPr>
          <w:b w:val="0"/>
          <w:i w:val="0"/>
          <w:sz w:val="17"/>
        </w:rPr>
        <w:t>Trecho (leitura do buscador sobre o Cap. 2, via snippet; site bloqueado):</w:t>
      </w:r>
    </w:p>
    <w:p>
      <w:pPr>
        <w:spacing w:after="120"/>
      </w:pPr>
      <w:r>
        <w:rPr>
          <w:b w:val="0"/>
          <w:i w:val="0"/>
          <w:color w:val="595959"/>
          <w:sz w:val="17"/>
        </w:rPr>
        <w:t>"The document contains Table 3 showing the evolution of per capita consumption of sand and crushed stone in Brazil (measured in tons). The data is estimated considering a population of 191 million according to the 2010 census."</w:t>
      </w:r>
    </w:p>
    <w:p>
      <w:pPr>
        <w:spacing w:after="120"/>
      </w:pPr>
      <w:r>
        <w:rPr>
          <w:b w:val="0"/>
          <w:i w:val="0"/>
          <w:sz w:val="17"/>
        </w:rPr>
        <w:t>Leitura: o capítulo do CETEM existe na URL indicada e traz a série per capita (Tabela 3, base Censo 2010). Nas buscas pelas linhas da tabela de obras, este PDF aparecia junto com os resultados de 68 t/1.360 t/2.000–3.250 — é replicador da mesma tabela DNPM/ANEPAC, não origem independente.</w:t>
      </w:r>
    </w:p>
    <w:p>
      <w:pPr>
        <w:spacing w:after="120"/>
      </w:pPr>
      <w:r>
        <w:rPr>
          <w:b w:val="0"/>
          <w:i w:val="0"/>
          <w:sz w:val="17"/>
        </w:rPr>
        <w:t>### [C10] Valores "internacionais" distintos que circulam junto (não confundir com a tabela do estudo)</w:t>
      </w:r>
    </w:p>
    <w:p>
      <w:pPr>
        <w:spacing w:after="120"/>
      </w:pPr>
      <w:r>
        <w:rPr>
          <w:b w:val="0"/>
          <w:i w:val="0"/>
          <w:sz w:val="17"/>
        </w:rPr>
        <w:t>URL (contexto da busca em que apareceram; associados a linhagem CETEM/ANM): https://www.gov.br/anm/pt-br/assuntos/economia-mineral/publicacoes/outras-publicacoes-1/8-1-2013-agregados-minerais e https://mineralis.cetem.gov.br/bitstream/cetem/2049/1/Cap%206%20Usos%20e%20Especifica%C3%A7%C3%B5es.pdf</w:t>
      </w:r>
    </w:p>
    <w:p>
      <w:pPr>
        <w:spacing w:after="120"/>
      </w:pPr>
      <w:r>
        <w:rPr>
          <w:b w:val="0"/>
          <w:i w:val="0"/>
          <w:sz w:val="17"/>
        </w:rPr>
        <w:t>Trecho (via snippet):</w:t>
      </w:r>
    </w:p>
    <w:p>
      <w:pPr>
        <w:spacing w:after="120"/>
      </w:pPr>
      <w:r>
        <w:rPr>
          <w:b w:val="0"/>
          <w:i w:val="0"/>
          <w:color w:val="595959"/>
          <w:sz w:val="17"/>
        </w:rPr>
        <w:t>"The construction of dwellings consumes 100 to 300 tons of aggregates; a building (hospital, school, etc.), 2,000 to 4,000 tons; a kilometer of railroad consumes around 10,000 tons and a kilometer of highway consumes about 30,000 tons."</w:t>
      </w:r>
    </w:p>
    <w:p>
      <w:pPr>
        <w:spacing w:after="120"/>
      </w:pPr>
      <w:r>
        <w:rPr>
          <w:b w:val="0"/>
          <w:i w:val="0"/>
          <w:sz w:val="17"/>
        </w:rPr>
        <w:t>Leitura: há uma SEGUNDA tabela em circulação (residência 100–300 t; edifício 2.000–4.000 t; ferrovia ~10.000 t/km; highway ~30.000 t/km — padrão internacional/UEPG). Não é a tabela do estudo; registrar para evitar contaminação de citações.</w:t>
      </w:r>
    </w:p>
    <w:p>
      <w:pPr>
        <w:spacing w:after="120"/>
      </w:pPr>
      <w:r>
        <w:rPr>
          <w:b w:val="0"/>
          <w:i w:val="0"/>
          <w:sz w:val="17"/>
        </w:rPr>
      </w:r>
    </w:p>
    <w:p>
      <w:pPr>
        <w:spacing w:after="120" w:before="160"/>
      </w:pPr>
      <w:r>
        <w:rPr>
          <w:b/>
          <w:i w:val="0"/>
          <w:sz w:val="22"/>
        </w:rPr>
        <w:t>Seção 2 — Consumo per capita (nacional e regional)</w:t>
      </w:r>
    </w:p>
    <w:p>
      <w:pPr>
        <w:spacing w:after="120"/>
      </w:pPr>
      <w:r>
        <w:rPr>
          <w:b w:val="0"/>
          <w:i w:val="0"/>
          <w:sz w:val="17"/>
        </w:rPr>
        <w:t>### [C11] Série regional com "Sudeste 4,1": Nordeste 2,7 / Norte 3,1 / Sul e Sudeste 4,1 / Centro-Oeste 4,5 t/hab/ano — atribuída à ANEPAC</w:t>
      </w:r>
    </w:p>
    <w:p>
      <w:pPr>
        <w:spacing w:after="120"/>
      </w:pPr>
      <w:r>
        <w:rPr>
          <w:b w:val="0"/>
          <w:i w:val="0"/>
          <w:sz w:val="17"/>
        </w:rPr>
        <w:t>URLs em que a série foi lida pelo buscador:</w:t>
      </w:r>
    </w:p>
    <w:p>
      <w:pPr>
        <w:spacing w:after="120"/>
      </w:pPr>
      <w:r>
        <w:rPr>
          <w:b w:val="0"/>
          <w:i w:val="0"/>
          <w:sz w:val="17"/>
        </w:rPr>
        <w:t>http://www.anepac.org.br/anepac/associadas/mantenedoras/itemlist/user/915-anepac?start=20 (listagem de artigos ANEPAC)</w:t>
      </w:r>
    </w:p>
    <w:p>
      <w:pPr>
        <w:spacing w:after="120"/>
      </w:pPr>
      <w:r>
        <w:rPr>
          <w:b w:val="0"/>
          <w:i w:val="0"/>
          <w:sz w:val="17"/>
        </w:rPr>
        <w:t>https://mineralis.cetem.gov.br/bitstream/cetem/2045/1/Cap%202%20Mercado%20de%20Agregados%20no%20Brasil.pdf (Cap. 2 CETEM, presente no mesmo conjunto de resultados)</w:t>
      </w:r>
    </w:p>
    <w:p>
      <w:pPr>
        <w:spacing w:after="120"/>
      </w:pPr>
      <w:r>
        <w:rPr>
          <w:b w:val="0"/>
          <w:i w:val="0"/>
          <w:sz w:val="17"/>
        </w:rPr>
        <w:t>Trecho (via snippet; sites bloqueados):</w:t>
      </w:r>
    </w:p>
    <w:p>
      <w:pPr>
        <w:spacing w:after="120"/>
      </w:pPr>
      <w:r>
        <w:rPr>
          <w:b w:val="0"/>
          <w:i w:val="0"/>
          <w:color w:val="595959"/>
          <w:sz w:val="17"/>
        </w:rPr>
        <w:t>"There is a significant variation in per capita consumption according to regions in tons/inhabitant/year: 2.7 for the Northeast, 3.1 for the North, 4.1 for the South and Southeast, and 4.5 for the Center-West. This appears to be data from the aggregate sector in Brazil compiled by ANEPAC."</w:t>
      </w:r>
    </w:p>
    <w:p>
      <w:pPr>
        <w:spacing w:after="120"/>
      </w:pPr>
      <w:r>
        <w:rPr>
          <w:b w:val="0"/>
          <w:i w:val="0"/>
          <w:sz w:val="17"/>
        </w:rPr>
        <w:t>Leitura: o 4,1 t/hab/ano do estudo existe e é ANEPAC — mas na fonte o valor é para "SUL E SUDESTE" (agregado das duas regiões), não Sudeste isolado. Registrar essa nuance ao citar. A mesma página ANEPAC traz: "After growth of 6.2% annually from 2000 to 2014, the sector declined about 30% in 2015, with an estimated volume of 519 million tons" (via snippet).</w:t>
      </w:r>
    </w:p>
    <w:p>
      <w:pPr>
        <w:spacing w:after="120"/>
      </w:pPr>
      <w:r>
        <w:rPr>
          <w:b w:val="0"/>
          <w:i w:val="0"/>
          <w:sz w:val="17"/>
        </w:rPr>
        <w:t>### [C12] Nacional ~3,7 t/hab (pico, 2013/2014, ANEPAC) e 741 Mt consumidos</w:t>
      </w:r>
    </w:p>
    <w:p>
      <w:pPr>
        <w:spacing w:after="120"/>
      </w:pPr>
      <w:r>
        <w:rPr>
          <w:b w:val="0"/>
          <w:i w:val="0"/>
          <w:sz w:val="17"/>
        </w:rPr>
        <w:t>URLs: https://anepac.org.br/mercado/ (e espelho https://www.anepac.org.br/agregados/mercado); http://www.sindibrita.org.br/noticia_2014_12_19-02.html</w:t>
      </w:r>
    </w:p>
    <w:p>
      <w:pPr>
        <w:spacing w:after="120"/>
      </w:pPr>
      <w:r>
        <w:rPr>
          <w:b w:val="0"/>
          <w:i w:val="0"/>
          <w:sz w:val="17"/>
        </w:rPr>
        <w:t>Trechos (via snippet; sites bloqueados):</w:t>
      </w:r>
    </w:p>
    <w:p>
      <w:pPr>
        <w:spacing w:after="120"/>
      </w:pPr>
      <w:r>
        <w:rPr>
          <w:b w:val="0"/>
          <w:i w:val="0"/>
          <w:color w:val="595959"/>
          <w:sz w:val="17"/>
        </w:rPr>
        <w:t>"The per capita consumption was 3.7 tons/inhabitant/year, according to ANEPAC data… In 2014, the annual consumption of gravel and sand in Brazil was around 3.7 tons per inhabitant."</w:t>
      </w:r>
    </w:p>
    <w:p>
      <w:pPr>
        <w:spacing w:after="120"/>
      </w:pPr>
      <w:r>
        <w:rPr>
          <w:b w:val="0"/>
          <w:i w:val="0"/>
          <w:color w:val="595959"/>
          <w:sz w:val="17"/>
        </w:rPr>
        <w:t>"741 million tons were consumed in Brazil, corresponding to 3.7 tons per capita."</w:t>
      </w:r>
    </w:p>
    <w:p>
      <w:pPr>
        <w:spacing w:after="120"/>
      </w:pPr>
      <w:r>
        <w:rPr>
          <w:b w:val="0"/>
          <w:i w:val="0"/>
          <w:sz w:val="17"/>
        </w:rPr>
        <w:t>Leitura: o teto nacional da série ANEPAC é ~3,7 t/hab (2013/2014; 741 Mt consumidos — ver variante 745/770 Mt em [C17]).</w:t>
      </w:r>
    </w:p>
    <w:p>
      <w:pPr>
        <w:spacing w:after="120"/>
      </w:pPr>
      <w:r>
        <w:rPr>
          <w:b w:val="0"/>
          <w:i w:val="0"/>
          <w:sz w:val="17"/>
        </w:rPr>
        <w:t>### [C13] Nacional recente 3,3–3,5 t/hab e comparações internacionais</w:t>
      </w:r>
    </w:p>
    <w:p>
      <w:pPr>
        <w:spacing w:after="120"/>
      </w:pPr>
      <w:r>
        <w:rPr>
          <w:b w:val="0"/>
          <w:i w:val="0"/>
          <w:sz w:val="17"/>
        </w:rPr>
        <w:t>URLs: https://www.brasilmineral.com.br/noticias/setor-de-agregados-busca-protagonismo-na-mineracao-brasileira ; https://www.mtexpo.com.br/blog/demanda-global-por-areia-e-agregados-tende-a-subir-45-ate-2060/</w:t>
      </w:r>
    </w:p>
    <w:p>
      <w:pPr>
        <w:spacing w:after="120"/>
      </w:pPr>
      <w:r>
        <w:rPr>
          <w:b w:val="0"/>
          <w:i w:val="0"/>
          <w:sz w:val="17"/>
        </w:rPr>
        <w:t>Trecho (via snippet):</w:t>
      </w:r>
    </w:p>
    <w:p>
      <w:pPr>
        <w:spacing w:after="120"/>
      </w:pPr>
      <w:r>
        <w:rPr>
          <w:b w:val="0"/>
          <w:i w:val="0"/>
          <w:color w:val="595959"/>
          <w:sz w:val="17"/>
        </w:rPr>
        <w:t>"The Brazilian per capita consumption is only 3.3 to 3.5 tons per inhabitant… More developed countries like the USA (9 t/hab), China (12 t/hab) and Finland (17 t/hab) presented much more expressive data."</w:t>
      </w:r>
    </w:p>
    <w:p>
      <w:pPr>
        <w:spacing w:after="120"/>
      </w:pPr>
      <w:r>
        <w:rPr>
          <w:b w:val="0"/>
          <w:i w:val="0"/>
          <w:sz w:val="17"/>
        </w:rPr>
        <w:t>Leitura: faixa recente nacional 3,3–3,5 t/hab (imprensa setorial citando ANEPAC), com benchmarks EUA 9 / China 12 / Finlândia 17 t/hab.</w:t>
      </w:r>
    </w:p>
    <w:p>
      <w:pPr>
        <w:spacing w:after="120"/>
      </w:pPr>
      <w:r>
        <w:rPr>
          <w:b w:val="0"/>
          <w:i w:val="0"/>
          <w:sz w:val="17"/>
        </w:rPr>
        <w:t>### [C14] Nacional ~2 t/hab por volta de 2000</w:t>
      </w:r>
    </w:p>
    <w:p>
      <w:pPr>
        <w:spacing w:after="120"/>
      </w:pPr>
      <w:r>
        <w:rPr>
          <w:b w:val="0"/>
          <w:i w:val="0"/>
          <w:sz w:val="17"/>
        </w:rPr>
        <w:t>URLs: https://demin.ufmg.br/downloadtcc.php?f=6 ("O mercado de agregados para a construção civil no Brasil", TCC Eng. Minas UFMG) ; https://anepac.org.br/mercado/</w:t>
      </w:r>
    </w:p>
    <w:p>
      <w:pPr>
        <w:spacing w:after="120"/>
      </w:pPr>
      <w:r>
        <w:rPr>
          <w:b w:val="0"/>
          <w:i w:val="0"/>
          <w:sz w:val="17"/>
        </w:rPr>
        <w:t>Trecho (via snippet):</w:t>
      </w:r>
    </w:p>
    <w:p>
      <w:pPr>
        <w:spacing w:after="120"/>
      </w:pPr>
      <w:r>
        <w:rPr>
          <w:b w:val="0"/>
          <w:i w:val="0"/>
          <w:color w:val="595959"/>
          <w:sz w:val="17"/>
        </w:rPr>
        <w:t>"In the year 2000, Brazil's registered aggregate production corresponded to a per capita consumption of approximately 2 tons per inhabitant."</w:t>
      </w:r>
    </w:p>
    <w:p>
      <w:pPr>
        <w:spacing w:after="120"/>
      </w:pPr>
      <w:r>
        <w:rPr>
          <w:b w:val="0"/>
          <w:i w:val="0"/>
          <w:sz w:val="17"/>
        </w:rPr>
        <w:t>Leitura: âncora do piso histórico (~2 t/hab em 2000). O valor "2,2 t/hab" exato citado no estudo NÃO foi localizado verbatim em nenhum snippet (lacuna); o que se fixa é ~2 (2000) → 3,7 (2013/14) → 3,3–3,5 (recente).</w:t>
      </w:r>
    </w:p>
    <w:p>
      <w:pPr>
        <w:spacing w:after="120"/>
      </w:pPr>
      <w:r>
        <w:rPr>
          <w:b w:val="0"/>
          <w:i w:val="0"/>
          <w:sz w:val="17"/>
        </w:rPr>
        <w:t>### [C15] Comparações internacionais na linhagem oficial (Balanço Mineral 2001)</w:t>
      </w:r>
    </w:p>
    <w:p>
      <w:pPr>
        <w:spacing w:after="120"/>
      </w:pPr>
      <w:r>
        <w:rPr>
          <w:b w:val="0"/>
          <w:i w:val="0"/>
          <w:sz w:val="17"/>
        </w:rPr>
        <w:t>URL: https://www.gov.br/anm/pt-br/centrais-de-conteudos/anm/publicacoes-economia-mineral/arquivos/agregados-para-contrucao-civil.pdf</w:t>
      </w:r>
    </w:p>
    <w:p>
      <w:pPr>
        <w:spacing w:after="120"/>
      </w:pPr>
      <w:r>
        <w:rPr>
          <w:b w:val="0"/>
          <w:i w:val="0"/>
          <w:sz w:val="17"/>
        </w:rPr>
        <w:t>Trecho (via snippet; site bloqueado):</w:t>
      </w:r>
    </w:p>
    <w:p>
      <w:pPr>
        <w:spacing w:after="120"/>
      </w:pPr>
      <w:r>
        <w:rPr>
          <w:b w:val="0"/>
          <w:i w:val="0"/>
          <w:color w:val="595959"/>
          <w:sz w:val="17"/>
        </w:rPr>
        <w:t>"In Western Europe, aggregate consumption per inhabitant varies from 5,000 kg to 8,000 kg, and in Canada, specifically in Ontario province in the 1980s, consumption reached 15 tons per inhabitant."</w:t>
      </w:r>
    </w:p>
    <w:p>
      <w:pPr>
        <w:spacing w:after="120"/>
      </w:pPr>
      <w:r>
        <w:rPr>
          <w:b w:val="0"/>
          <w:i w:val="0"/>
          <w:sz w:val="17"/>
        </w:rPr>
        <w:t>Leitura: o Balanço 2001 já usava per capita como indicador (Europa Ocidental 5–8 t/hab; Ontário 15 t/hab) — útil para contextualizar o 4,1 regional.</w:t>
      </w:r>
    </w:p>
    <w:p>
      <w:pPr>
        <w:spacing w:after="120"/>
      </w:pPr>
      <w:r>
        <w:rPr>
          <w:b w:val="0"/>
          <w:i w:val="0"/>
          <w:sz w:val="17"/>
        </w:rPr>
        <w:t>### [C16] Evolução do consumo nacional 1995→2000 (contexto da série per capita)</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"From 1995 to 2000, aggregate consumption jumped from a level of 190 to 400 million tons."</w:t>
      </w:r>
    </w:p>
    <w:p>
      <w:pPr>
        <w:spacing w:after="120"/>
      </w:pPr>
      <w:r>
        <w:rPr>
          <w:b w:val="0"/>
          <w:i w:val="0"/>
          <w:color w:val="595959"/>
          <w:sz w:val="17"/>
        </w:rPr>
        <w:t>"From 1960 to 1980, demand for aggregates jumped from 25 million to 153 million tons."</w:t>
      </w:r>
    </w:p>
    <w:p>
      <w:pPr>
        <w:spacing w:after="120"/>
      </w:pPr>
      <w:r>
        <w:rPr>
          <w:b w:val="0"/>
          <w:i w:val="0"/>
          <w:sz w:val="17"/>
        </w:rPr>
        <w:t>Leitura: série histórica ANEPAC da página Mercado — base para qualquer per capita retroativo.</w:t>
      </w:r>
    </w:p>
    <w:p>
      <w:pPr>
        <w:spacing w:after="120"/>
      </w:pPr>
      <w:r>
        <w:rPr>
          <w:b w:val="0"/>
          <w:i w:val="0"/>
          <w:sz w:val="17"/>
        </w:rPr>
      </w:r>
    </w:p>
    <w:p>
      <w:pPr>
        <w:spacing w:after="120" w:before="160"/>
      </w:pPr>
      <w:r>
        <w:rPr>
          <w:b/>
          <w:i w:val="0"/>
          <w:sz w:val="22"/>
        </w:rPr>
        <w:t>Seção 3 — Participação da brita no total de agregados</w:t>
      </w:r>
    </w:p>
    <w:p>
      <w:pPr>
        <w:spacing w:after="120"/>
      </w:pPr>
      <w:r>
        <w:rPr>
          <w:b w:val="0"/>
          <w:i w:val="0"/>
          <w:sz w:val="17"/>
        </w:rPr>
        <w:t>### [C17] Pares produção brita/areia localizados e razões calculadas</w:t>
      </w:r>
    </w:p>
    <w:p>
      <w:pPr>
        <w:spacing w:after="120"/>
      </w:pPr>
      <w:r>
        <w:rPr>
          <w:b w:val="0"/>
          <w:i w:val="0"/>
          <w:sz w:val="17"/>
        </w:rPr>
        <w:t>Fontes e trechos (todos via snippet; sites bloqueados):</w:t>
      </w:r>
    </w:p>
    <w:p>
      <w:pPr>
        <w:spacing w:after="120"/>
      </w:pPr>
      <w:r>
        <w:rPr>
          <w:b w:val="0"/>
          <w:i w:val="0"/>
          <w:sz w:val="17"/>
        </w:rPr>
        <w:t>2013: URL https://www.cimentoitambe.com.br/mineradores-de-areia-tentam-reinventar-mercado/ (citando ANEPAC/Sindipedras-SP):</w:t>
      </w:r>
    </w:p>
    <w:p>
      <w:pPr>
        <w:spacing w:after="120"/>
      </w:pPr>
      <w:r>
        <w:rPr>
          <w:b w:val="0"/>
          <w:i w:val="0"/>
          <w:color w:val="595959"/>
          <w:sz w:val="17"/>
        </w:rPr>
        <w:t>"In 2013… the production of aggregates (sand and crushed stone combined) reached approximately 770 million tonnes (456 million tonnes of sand and 314 million tonnes of crushed stone), representing a 7.59% increase compared to 2012."</w:t>
      </w:r>
    </w:p>
    <w:p>
      <w:pPr>
        <w:spacing w:after="120"/>
      </w:pPr>
      <w:r>
        <w:rPr>
          <w:b w:val="0"/>
          <w:i w:val="0"/>
          <w:sz w:val="17"/>
        </w:rPr>
        <w:t>→ brita 314/770 = 40,8%. (Variante de total 2013: 745 Mt em https://anepac.org.br/mercado/ — "reaching 745 million tons in 2013"; e 741 Mt em [C12]. Registrar as três: 741/745/770.)</w:t>
      </w:r>
    </w:p>
    <w:p>
      <w:pPr>
        <w:spacing w:after="120"/>
      </w:pPr>
      <w:r>
        <w:rPr>
          <w:b w:val="0"/>
          <w:i w:val="0"/>
          <w:sz w:val="17"/>
        </w:rPr>
        <w:t>2020: URL https://revistamt.com.br/Materias/Exibir/o-termometro-da-construcao (Revista M&amp;T):</w:t>
      </w:r>
    </w:p>
    <w:p>
      <w:pPr>
        <w:spacing w:after="120"/>
      </w:pPr>
      <w:r>
        <w:rPr>
          <w:b w:val="0"/>
          <w:i w:val="0"/>
          <w:color w:val="595959"/>
          <w:sz w:val="17"/>
        </w:rPr>
        <w:t>"In 2020, Brazil moved 605 million tons of aggregates, with 353 million tons of sand and 252 million tons of crushed stone."</w:t>
      </w:r>
    </w:p>
    <w:p>
      <w:pPr>
        <w:spacing w:after="120"/>
      </w:pPr>
      <w:r>
        <w:rPr>
          <w:b w:val="0"/>
          <w:i w:val="0"/>
          <w:sz w:val="17"/>
        </w:rPr>
        <w:t>→ brita 252/605 = 41,65%. (Mesma matéria: estimativa 2021 = 656 Mt, +9%.)</w:t>
      </w:r>
    </w:p>
    <w:p>
      <w:pPr>
        <w:spacing w:after="120"/>
      </w:pPr>
      <w:r>
        <w:rPr>
          <w:b w:val="0"/>
          <w:i w:val="0"/>
          <w:sz w:val="17"/>
        </w:rPr>
        <w:t>2022: URLs https://anepac.org.br/mercado/ e https://www.mtexpo.com.br/blog/demanda-global-por-areia-e-agregados-tende-a-subir-45-ate-2060/ :</w:t>
      </w:r>
    </w:p>
    <w:p>
      <w:pPr>
        <w:spacing w:after="120"/>
      </w:pPr>
      <w:r>
        <w:rPr>
          <w:b w:val="0"/>
          <w:i w:val="0"/>
          <w:color w:val="595959"/>
          <w:sz w:val="17"/>
        </w:rPr>
        <w:t>"In 2022, the aggregates market supplied 640 million tons of aggregates, consisting of 374 million tons of sand and 266 million tons of gravel [brita]."</w:t>
      </w:r>
    </w:p>
    <w:p>
      <w:pPr>
        <w:spacing w:after="120"/>
      </w:pPr>
      <w:r>
        <w:rPr>
          <w:b w:val="0"/>
          <w:i w:val="0"/>
          <w:sz w:val="17"/>
        </w:rPr>
        <w:t>→ brita 266/640 = 41,56%.</w:t>
      </w:r>
    </w:p>
    <w:p>
      <w:pPr>
        <w:spacing w:after="120"/>
      </w:pPr>
      <w:r>
        <w:rPr>
          <w:b w:val="0"/>
          <w:i w:val="0"/>
          <w:sz w:val="17"/>
        </w:rPr>
        <w:t>2023: URL https://www.brasilmineral.com.br/noticias/com-producao-de-r-34-bilhoes-setor-de-agregados-comemora-2022 (e matérias correlatas Brasil Mineral):</w:t>
      </w:r>
    </w:p>
    <w:p>
      <w:pPr>
        <w:spacing w:after="120"/>
      </w:pPr>
      <w:r>
        <w:rPr>
          <w:b w:val="0"/>
          <w:i w:val="0"/>
          <w:color w:val="595959"/>
          <w:sz w:val="17"/>
        </w:rPr>
        <w:t>"In 2023, the aggregates sector in Brazil showed 'modest' performance with only 3% growth, reaching 654 million tons, consisting of 272 million tons of crushed stone and 382 million tons of sand."</w:t>
      </w:r>
    </w:p>
    <w:p>
      <w:pPr>
        <w:spacing w:after="120"/>
      </w:pPr>
      <w:r>
        <w:rPr>
          <w:b w:val="0"/>
          <w:i w:val="0"/>
          <w:sz w:val="17"/>
        </w:rPr>
        <w:t>→ brita 272/654 = 41,59%.</w:t>
      </w:r>
    </w:p>
    <w:p>
      <w:pPr>
        <w:spacing w:after="120"/>
      </w:pPr>
      <w:r>
        <w:rPr>
          <w:b w:val="0"/>
          <w:i w:val="0"/>
          <w:sz w:val="17"/>
        </w:rPr>
        <w:t>Leitura: a participação da brita é estável em ~40,8–41,7% na série ANEPAC. O 41,6% do estudo é exatamente o valor de 2022 (266/640 = 41,56%) e de 2023 (41,59%) — o melhor par para citar é 2022: 374 Mt areia + 266 Mt brita = 640 Mt (ANEPAC, página Mercado), corroborado por 2023 e 2020.</w:t>
      </w:r>
    </w:p>
    <w:p>
      <w:pPr>
        <w:spacing w:after="120"/>
      </w:pPr>
      <w:r>
        <w:rPr>
          <w:b w:val="0"/>
          <w:i w:val="0"/>
          <w:sz w:val="17"/>
        </w:rPr>
        <w:t>### [C18] Estrutura do setor (contexto do par areia/brita)</w:t>
      </w:r>
    </w:p>
    <w:p>
      <w:pPr>
        <w:spacing w:after="120"/>
      </w:pPr>
      <w:r>
        <w:rPr>
          <w:b w:val="0"/>
          <w:i w:val="0"/>
          <w:sz w:val="17"/>
        </w:rPr>
        <w:t>URLs: https://anepac.org.br/mercado/ ; http://recursomineralmg.codemge.com.br/substancias-minerais/recursos-construcao-civil/</w:t>
      </w:r>
    </w:p>
    <w:p>
      <w:pPr>
        <w:spacing w:after="120"/>
      </w:pPr>
      <w:r>
        <w:rPr>
          <w:b w:val="0"/>
          <w:i w:val="0"/>
          <w:sz w:val="17"/>
        </w:rPr>
        <w:t>Trechos (via snippet; sites bloqueados):</w:t>
      </w:r>
    </w:p>
    <w:p>
      <w:pPr>
        <w:spacing w:after="120"/>
      </w:pPr>
      <w:r>
        <w:rPr>
          <w:b w:val="0"/>
          <w:i w:val="0"/>
          <w:color w:val="595959"/>
          <w:sz w:val="17"/>
        </w:rPr>
        <w:t>"The Brazilian sand and crushed stone market is served by approximately 3,100 companies: 600 producing crushed stone and 2,500 extracting sand, generating 75,000 direct jobs."</w:t>
      </w:r>
    </w:p>
    <w:p>
      <w:pPr>
        <w:spacing w:after="120"/>
      </w:pPr>
      <w:r>
        <w:rPr>
          <w:b w:val="0"/>
          <w:i w:val="0"/>
          <w:color w:val="595959"/>
          <w:sz w:val="17"/>
        </w:rPr>
        <w:t>"Approximately 35% of sand production is intended for mortar preparation, 20% for concrete manufacturing, 15% for contractors, 10% for prefabricated products, 10% for resellers…, 5% for pavers/asphalt plants…" (CODEMGE)</w:t>
      </w:r>
    </w:p>
    <w:p>
      <w:pPr>
        <w:spacing w:after="120"/>
      </w:pPr>
      <w:r>
        <w:rPr>
          <w:b w:val="0"/>
          <w:i w:val="0"/>
          <w:color w:val="595959"/>
          <w:sz w:val="17"/>
        </w:rPr>
        <w:t>"Aggregate production reached a record of 631 million tons in 2010." (CODEMGE; RMBH = 2º maior polo produtor do país, 12% da produção nacional)</w:t>
      </w:r>
    </w:p>
    <w:p>
      <w:pPr>
        <w:spacing w:after="120"/>
      </w:pPr>
      <w:r>
        <w:rPr>
          <w:b w:val="0"/>
          <w:i w:val="0"/>
          <w:sz w:val="17"/>
        </w:rPr>
        <w:t>Leitura: CODEMGE ("Recursos para construção civil") confirma-se como replicadora de dados ANEPAC/DNPM (631 Mt em 2010; destinos da areia), sem trazer a tabela de obras nos snippets obtidos.</w:t>
      </w:r>
    </w:p>
    <w:p>
      <w:pPr>
        <w:spacing w:after="120"/>
      </w:pPr>
      <w:r>
        <w:rPr>
          <w:b w:val="0"/>
          <w:i w:val="0"/>
          <w:sz w:val="17"/>
        </w:rPr>
        <w:t>### [C19] Mercados de destino dos agregados (ANEPAC)</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"The potential markets for aggregates include: Concretos (40%), Argamassas (36%), and Pavimentação e infraestrutura (24%)."</w:t>
      </w:r>
    </w:p>
    <w:p>
      <w:pPr>
        <w:spacing w:after="120"/>
      </w:pPr>
      <w:r>
        <w:rPr>
          <w:b w:val="0"/>
          <w:i w:val="0"/>
          <w:sz w:val="17"/>
        </w:rPr>
        <w:t>Leitura: partição de demanda por uso (concreto 40% / argamassa 36% / pavimentação 24%) — útil se o estudo precisar defender o recorte de pavimentação.</w:t>
      </w:r>
    </w:p>
    <w:p>
      <w:pPr>
        <w:spacing w:after="120"/>
      </w:pPr>
      <w:r>
        <w:rPr>
          <w:b w:val="0"/>
          <w:i w:val="0"/>
          <w:sz w:val="17"/>
        </w:rPr>
      </w:r>
    </w:p>
    <w:p>
      <w:pPr>
        <w:spacing w:after="120" w:before="160"/>
      </w:pPr>
      <w:r>
        <w:rPr>
          <w:b/>
          <w:i w:val="0"/>
          <w:sz w:val="22"/>
        </w:rPr>
        <w:t>Seção 4 — SICRO/DNIT</w:t>
      </w:r>
    </w:p>
    <w:p>
      <w:pPr>
        <w:spacing w:after="120"/>
      </w:pPr>
      <w:r>
        <w:rPr>
          <w:b w:val="0"/>
          <w:i w:val="0"/>
          <w:sz w:val="17"/>
        </w:rPr>
        <w:t>### [C20] O que é o SICRO — definição e caráter oficial</w:t>
      </w:r>
    </w:p>
    <w:p>
      <w:pPr>
        <w:spacing w:after="120"/>
      </w:pPr>
      <w:r>
        <w:rPr>
          <w:b w:val="0"/>
          <w:i w:val="0"/>
          <w:sz w:val="17"/>
        </w:rPr>
        <w:t>URLs:</w:t>
      </w:r>
    </w:p>
    <w:p>
      <w:pPr>
        <w:spacing w:after="120"/>
      </w:pPr>
      <w:r>
        <w:rPr>
          <w:b w:val="0"/>
          <w:i w:val="0"/>
          <w:sz w:val="17"/>
        </w:rPr>
        <w:t>Oficial (gov.br/DNIT): https://www.gov.br/dnit/pt-br/assuntos/planejamento-e-pesquisa/custos-referenciais/sistemas-de-custos/sicro/ (evidenciada pelo documento indexado "SISTEMA DE CUSTOS REFERENCIAIS DE OBRAS - SICRO Relatório de Ocorrências", https://www.gov.br/dnit/pt-br/assuntos/planejamento-e-pesquisa/custos-referenciais/sistemas-de-custos/sicro/relatorios/relatorio-de-ocorrencias-do-sicro-1/relatorio-de-ocorrencias-sicro-ref-jul-2025_ccr.pdf)</w:t>
      </w:r>
    </w:p>
    <w:p>
      <w:pPr>
        <w:spacing w:after="120"/>
      </w:pPr>
      <w:r>
        <w:rPr>
          <w:b w:val="0"/>
          <w:i w:val="0"/>
          <w:sz w:val="17"/>
        </w:rPr>
        <w:t>Descritiva: https://www.orcafascio.com/papodeengenheiro/sicro</w:t>
      </w:r>
    </w:p>
    <w:p>
      <w:pPr>
        <w:spacing w:after="120"/>
      </w:pPr>
      <w:r>
        <w:rPr>
          <w:b w:val="0"/>
          <w:i w:val="0"/>
          <w:sz w:val="17"/>
        </w:rPr>
        <w:t>Trecho (via snippet):</w:t>
      </w:r>
    </w:p>
    <w:p>
      <w:pPr>
        <w:spacing w:after="120"/>
      </w:pPr>
      <w:r>
        <w:rPr>
          <w:b w:val="0"/>
          <w:i w:val="0"/>
          <w:color w:val="595959"/>
          <w:sz w:val="17"/>
        </w:rPr>
        <w:t>"SICRO é o Sistema de Custos Referenciais de Obras, mantido pelo DNIT, e reúne composições, insumos, metodologias e parâmetros usados como referência para orçamentos de obras e serviços de infraestrutura de transportes."</w:t>
      </w:r>
    </w:p>
    <w:p>
      <w:pPr>
        <w:spacing w:after="120"/>
      </w:pPr>
      <w:r>
        <w:rPr>
          <w:b w:val="0"/>
          <w:i w:val="0"/>
          <w:color w:val="595959"/>
          <w:sz w:val="17"/>
        </w:rPr>
        <w:t>"Em decorrência da publicação da Norma DNIT 031/2024-ES - Pavimentação - Concreto asfáltico, tornou-se necessária a alteração de composições de custos do grupo de serviços de pavimentação."</w:t>
      </w:r>
    </w:p>
    <w:p>
      <w:pPr>
        <w:spacing w:after="120"/>
      </w:pPr>
      <w:r>
        <w:rPr>
          <w:b w:val="0"/>
          <w:i w:val="0"/>
          <w:sz w:val="17"/>
        </w:rPr>
        <w:t>Leitura: confirmado — SICRO = Sistema de Custos Referenciais de Obras do DNIT, oficial, com composições específicas de pavimentação (grupo de serviços atualizado pela Norma DNIT 031/2024-ES). Serve como âncora normativa para coeficientes físicos por serviço.</w:t>
      </w:r>
    </w:p>
    <w:p>
      <w:pPr>
        <w:spacing w:after="120"/>
      </w:pPr>
      <w:r>
        <w:rPr>
          <w:b w:val="0"/>
          <w:i w:val="0"/>
          <w:sz w:val="17"/>
        </w:rPr>
      </w:r>
    </w:p>
    <w:p>
      <w:pPr>
        <w:spacing w:after="120" w:before="160"/>
      </w:pPr>
      <w:r>
        <w:rPr>
          <w:b/>
          <w:i w:val="0"/>
          <w:sz w:val="22"/>
        </w:rPr>
        <w:t>Seção 5 — Consumo por m² de pavimentação urbana completa</w:t>
      </w:r>
    </w:p>
    <w:p>
      <w:pPr>
        <w:spacing w:after="120"/>
      </w:pPr>
      <w:r>
        <w:rPr>
          <w:b w:val="0"/>
          <w:i w:val="0"/>
          <w:sz w:val="17"/>
        </w:rPr>
        <w:t>### [C21] Ausência de coeficiente público em t/m²; âncoras mais próximas</w:t>
      </w:r>
    </w:p>
    <w:p>
      <w:pPr>
        <w:spacing w:after="120"/>
      </w:pPr>
      <w:r>
        <w:rPr>
          <w:b w:val="0"/>
          <w:i w:val="0"/>
          <w:sz w:val="17"/>
        </w:rPr>
        <w:t>URLs mais próximas encontradas:</w:t>
      </w:r>
    </w:p>
    <w:p>
      <w:pPr>
        <w:spacing w:after="120"/>
      </w:pPr>
      <w:r>
        <w:rPr>
          <w:b w:val="0"/>
          <w:i w:val="0"/>
          <w:sz w:val="17"/>
        </w:rPr>
        <w:t>SINAPI 104430 (piso intertravado drenante, por m²): https://orcamentor.com/composicao/104430/</w:t>
      </w:r>
    </w:p>
    <w:p>
      <w:pPr>
        <w:spacing w:after="120"/>
      </w:pPr>
      <w:r>
        <w:rPr>
          <w:b w:val="0"/>
          <w:i w:val="0"/>
          <w:sz w:val="17"/>
        </w:rPr>
        <w:t>SINAPI 92397 (piso intertravado retangular, por m²): https://buscadorsinapi.com.br/rj/composicao/92397-execucao-de-pavimento-em-piso-intertravado-com-bloco-retangu</w:t>
      </w:r>
    </w:p>
    <w:p>
      <w:pPr>
        <w:spacing w:after="120"/>
      </w:pPr>
      <w:r>
        <w:rPr>
          <w:b w:val="0"/>
          <w:i w:val="0"/>
          <w:sz w:val="17"/>
        </w:rPr>
        <w:t>Espessuras normativas de camadas: notas técnicas citando DNIT 139/2010-ES e 141/2010-ES (ex.: https://ufsj.edu.br/portal2-repositorio/File/ccivi/TCC-04_2022_2_Joseane_e_Rhully.pdf)</w:t>
      </w:r>
    </w:p>
    <w:p>
      <w:pPr>
        <w:spacing w:after="120"/>
      </w:pPr>
      <w:r>
        <w:rPr>
          <w:b w:val="0"/>
          <w:i w:val="0"/>
          <w:sz w:val="17"/>
        </w:rPr>
        <w:t>Trechos (via snippet):</w:t>
      </w:r>
    </w:p>
    <w:p>
      <w:pPr>
        <w:spacing w:after="120"/>
      </w:pPr>
      <w:r>
        <w:rPr>
          <w:b w:val="0"/>
          <w:i w:val="0"/>
          <w:color w:val="595959"/>
          <w:sz w:val="17"/>
        </w:rPr>
        <w:t>"SINAPI 104430: EXECUÇÃO DE PAVIMENTO EM PISO INTERTRAVADO, COM BLOCO DE CONCRETO PERMEÁVEL (DRENANTE) 16 FACES DE 22 X 11 CM, ESPESSURA 6 CM. AF_10/2022"</w:t>
      </w:r>
    </w:p>
    <w:p>
      <w:pPr>
        <w:spacing w:after="120"/>
      </w:pPr>
      <w:r>
        <w:rPr>
          <w:b w:val="0"/>
          <w:i w:val="0"/>
          <w:color w:val="595959"/>
          <w:sz w:val="17"/>
        </w:rPr>
        <w:t>"According to DNIT standards 139/2010-ES and 141/2010-ES, the thickness of compacted base and sub-base layers should not be less than 10 cm nor more than 20 cm."</w:t>
      </w:r>
    </w:p>
    <w:p>
      <w:pPr>
        <w:spacing w:after="120"/>
      </w:pPr>
      <w:r>
        <w:rPr>
          <w:b w:val="0"/>
          <w:i w:val="0"/>
          <w:color w:val="595959"/>
          <w:sz w:val="17"/>
        </w:rPr>
        <w:t>"For the rectangular model (10x20 cm)… you use 50 pieces per square meter… Sub-base and drainage base with washed gravel and adequate granulometry."</w:t>
      </w:r>
    </w:p>
    <w:p>
      <w:pPr>
        <w:spacing w:after="120"/>
      </w:pPr>
      <w:r>
        <w:rPr>
          <w:b w:val="0"/>
          <w:i w:val="0"/>
          <w:sz w:val="17"/>
        </w:rPr>
        <w:t>Leitura: NÃO existe (no material indexado localizável por busca) uma referência pública que dê "t de agregados por m² de urbanização completa" (pista + drenagem + calçada + intertravado). O que existe: (i) composições SINAPI/SICRO por m² de cada serviço (permitem derivar o coeficiente, mas exigem cálculo próprio); (ii) espessuras normativas DNIT de base/sub-base (10–20 cm), que implicam ~0,2–0,4 t/m² só de base/sub-base compactada (inferência, não citação). A linha setorial de 0,20–0,33 t/m² (2.000–3.250 t/km ÷ 10.000 m²/km) segue sendo a única referência publicada — e ela cobre apenas a pista simples.</w:t>
      </w:r>
    </w:p>
    <w:p>
      <w:pPr>
        <w:spacing w:after="120"/>
      </w:pPr>
      <w:r>
        <w:rPr>
          <w:b w:val="0"/>
          <w:i w:val="0"/>
          <w:sz w:val="17"/>
        </w:rPr>
      </w:r>
    </w:p>
    <w:p>
      <w:pPr>
        <w:spacing w:after="120" w:before="160"/>
      </w:pPr>
      <w:r>
        <w:rPr>
          <w:b/>
          <w:i w:val="0"/>
          <w:sz w:val="22"/>
        </w:rPr>
        <w:t>Lacunas</w:t>
      </w:r>
    </w:p>
    <w:p>
      <w:pPr>
        <w:spacing w:after="120"/>
      </w:pPr>
      <w:r>
        <w:rPr>
          <w:b w:val="0"/>
          <w:i w:val="0"/>
          <w:sz w:val="17"/>
        </w:rPr>
        <w:t>1. WebFetch integralmente bloqueado, inclusive a exceção autorizada (blob Azure da FIESP) — nenhuma página pôde ser aberta; todas as evidências são snippets/leituras do buscador com URL identificada.</w:t>
      </w:r>
    </w:p>
    <w:p>
      <w:pPr>
        <w:spacing w:after="120"/>
      </w:pPr>
      <w:r>
        <w:rPr>
          <w:b w:val="0"/>
          <w:i w:val="0"/>
          <w:sz w:val="17"/>
        </w:rPr>
        <w:t>2. Trecho literal palavra a palavra da apresentação do Senado [C01] não capturado — as duas leituras do buscador confirmam 50.000 (metrô) e 3.000 (manutenção) atreladas àquela URL, mas houve uma leitura divergente rotulando 9.800 como "road maintenance"; a tabela slide a slide foi recuperada pelo espelho SlidePlayer [C02].</w:t>
      </w:r>
    </w:p>
    <w:p>
      <w:pPr>
        <w:spacing w:after="120"/>
      </w:pPr>
      <w:r>
        <w:rPr>
          <w:b w:val="0"/>
          <w:i w:val="0"/>
          <w:sz w:val="17"/>
        </w:rPr>
        <w:t>3. "9.800" não aparece nas páginas ANM/gov.br localizáveis — a linhagem oficial ANM (página "Agregados para a Construção Civil") traz 9.500 t/km; o 9.800 está no documento CPRM/SGB [C05], no artigo do Catálogo de Mineração [C06] e (por leitura do buscador) na linhagem Sumário Mineral/Senado. Se o estudo cita 9.800 "conforme ANM", há imprecisão — o seguro é citar ANEPAC/Valverde (Senado 2009) ou CPRM.</w:t>
      </w:r>
    </w:p>
    <w:p>
      <w:pPr>
        <w:spacing w:after="120"/>
      </w:pPr>
      <w:r>
        <w:rPr>
          <w:b w:val="0"/>
          <w:i w:val="0"/>
          <w:sz w:val="17"/>
        </w:rPr>
        <w:t>4. "Sudeste 4,1 t/hab" isolado não existe nas fontes — o 4,1 é de "SUL E SUDESTE" (conjunto), série ANEPAC [C11]. Nenhum snippet deu valor exclusivo do Sudeste.</w:t>
      </w:r>
    </w:p>
    <w:p>
      <w:pPr>
        <w:spacing w:after="120"/>
      </w:pPr>
      <w:r>
        <w:rPr>
          <w:b w:val="0"/>
          <w:i w:val="0"/>
          <w:sz w:val="17"/>
        </w:rPr>
        <w:t>5. "2,2 t/hab" nacional não localizado verbatim — o mais próximo é "~2 t/hab em 2000" [C14].</w:t>
      </w:r>
    </w:p>
    <w:p>
      <w:pPr>
        <w:spacing w:after="120"/>
      </w:pPr>
      <w:r>
        <w:rPr>
          <w:b w:val="0"/>
          <w:i w:val="0"/>
          <w:sz w:val="17"/>
        </w:rPr>
        <w:t>6. Nenhuma referência pública de t/m² para urbanização completa (Seção 5) — apenas composições por serviço (SINAPI/SICRO) e espessuras normativas DNIT que permitem derivação própria.</w:t>
      </w:r>
    </w:p>
    <w:p>
      <w:pPr>
        <w:spacing w:after="120"/>
      </w:pPr>
      <w:r>
        <w:rPr>
          <w:b w:val="0"/>
          <w:i w:val="0"/>
          <w:sz w:val="17"/>
        </w:rPr>
        <w:t>7. Data da audiência no Senado ambígua: URL sugere 11/05/2009; título interno do PDF diz "5 de novembro de 2009". Conferir na agenda da CI (https://legis.senado.leg.br/comissoes/audiencias?codcol=59) antes de citar a data.</w:t>
      </w:r>
    </w:p>
    <w:p>
      <w:pPr>
        <w:spacing w:after="120"/>
      </w:pPr>
      <w:r>
        <w:rPr>
          <w:b w:val="0"/>
          <w:i w:val="0"/>
          <w:sz w:val="17"/>
        </w:rPr>
        <w:t>8. Existe ainda uma segunda apresentação ANEPAC no Senado (CAE, 2007): https://www.senado.gov.br/comissoes/cae/ap/ap_20070910_anepac_mineracao.pdf — não explorada em detalhe (possível fonte adicional da mesma tabela).</w:t>
      </w:r>
    </w:p>
    <w:p>
      <w:pPr>
        <w:spacing w:after="120" w:before="200"/>
      </w:pPr>
      <w:r>
        <w:rPr>
          <w:b/>
          <w:i w:val="0"/>
          <w:sz w:val="26"/>
        </w:rPr>
        <w:t>Anexo A — evidências documentais (coleta de 18/08/2026)</w:t>
      </w:r>
    </w:p>
    <w:p>
      <w:pPr>
        <w:spacing w:after="120"/>
      </w:pPr>
      <w:r>
        <w:rPr>
          <w:b w:val="0"/>
          <w:i w:val="0"/>
          <w:sz w:val="17"/>
        </w:rPr>
        <w:t>Data da coleta: 2026-08-18</w:t>
      </w:r>
    </w:p>
    <w:p>
      <w:pPr>
        <w:spacing w:after="120"/>
      </w:pPr>
      <w:r>
        <w:rPr>
          <w:b w:val="0"/>
          <w:i w:val="0"/>
          <w:sz w:val="17"/>
        </w:rPr>
        <w:t>Nota metodológica (importante). Nesta rodada, o proxy de egress bloqueou o WebFetch para TODOS os domínios tentados (der.es.gov.br, es.gov.br, sedurb.es.gov.br, saomateus.es.gov.br, hojees.com.br, emdiaes.com.br, tconline.com.br, sitebarra.com.br, ruacep.com.br). Portanto, TODA a evidência abaixo vem de snippets/sínteses retornados pela ferramenta de busca (WebSearch), citados verbatim como recebidos. Marcação usada em cada bloco de citação:</w:t>
      </w:r>
    </w:p>
    <w:p>
      <w:pPr>
        <w:spacing w:after="120"/>
      </w:pPr>
      <w:r>
        <w:rPr>
          <w:b w:val="0"/>
          <w:i w:val="0"/>
          <w:sz w:val="17"/>
        </w:rPr>
        <w:t>[PT] = trecho em português retornado pela busca (provável texto literal ou quase literal da página);</w:t>
      </w:r>
    </w:p>
    <w:p>
      <w:pPr>
        <w:spacing w:after="120"/>
      </w:pPr>
      <w:r>
        <w:rPr>
          <w:b w:val="0"/>
          <w:i w:val="0"/>
          <w:sz w:val="17"/>
        </w:rPr>
        <w:t>[EN-sint] = síntese em inglês gerada pela camada de busca sobre o conteúdo da página (não é o texto original da matéria, mas registro fiel do que a busca retornou).</w:t>
      </w:r>
    </w:p>
    <w:p>
      <w:pPr>
        <w:spacing w:after="120"/>
      </w:pPr>
      <w:r>
        <w:rPr>
          <w:b w:val="0"/>
          <w:i w:val="0"/>
          <w:sz w:val="17"/>
        </w:rPr>
        <w:t>Em ambos os casos vale a regra: "(via snippet de busca; site bloqueado para fetch)". Nada abaixo foi parafraseado por mim dentro dos blocos de citação.</w:t>
      </w:r>
    </w:p>
    <w:p>
      <w:pPr>
        <w:spacing w:after="120"/>
      </w:pPr>
      <w:r>
        <w:rPr>
          <w:b w:val="0"/>
          <w:i w:val="0"/>
          <w:sz w:val="17"/>
        </w:rPr>
      </w:r>
    </w:p>
    <w:p>
      <w:pPr>
        <w:spacing w:after="120" w:before="160"/>
      </w:pPr>
      <w:r>
        <w:rPr>
          <w:b/>
          <w:i w:val="0"/>
          <w:sz w:val="22"/>
        </w:rPr>
        <w:t>1. Macrodrenagem — Bacia 1 (lado Norte; edital de março/2026)</w:t>
      </w:r>
    </w:p>
    <w:p>
      <w:pPr>
        <w:spacing w:after="120"/>
      </w:pPr>
      <w:r>
        <w:rPr>
          <w:b w:val="0"/>
          <w:i w:val="0"/>
          <w:sz w:val="17"/>
        </w:rPr>
        <w:t>[E01] URL: https://der.es.gov.br/Noticia/governo-anuncia-edital-para-nova-etapa-da-macrodrenagem-de-guriri-em-sao-mateus (espelhos: https://www.es.gov.br/Noticia/governo-do-estado-anuncia-edital-para-nova-etapa-da-macrodrenagem-de-guriri-em-sao-mateus ; https://emdiaes.com.br/politica/governo-anuncia-edital-para-nova-etapa-da-macrodrenagem-de-guriri-em-sao-mateus/ ; https://hojees.com.br/governo-anuncia-edital-para-nova-etapa-da-macrodrenagem-de-guriri-em-sao-mateus/) | Fonte: DER-ES / Governo ES | Data da matéria: 24/03/2026 (terça-feira, conforme E03) | (via snippet de busca; site bloqueado)</w:t>
      </w:r>
    </w:p>
    <w:p>
      <w:pPr>
        <w:spacing w:after="120"/>
      </w:pPr>
      <w:r>
        <w:rPr>
          <w:b w:val="0"/>
          <w:i w:val="0"/>
          <w:color w:val="595959"/>
          <w:sz w:val="17"/>
        </w:rPr>
        <w:t>[EN-sint] "The government announced the publication of the bidding notice for the second stage of the macro drainage works in Guriri Beach, which will be executed by DER-ES, covering the North side of the region (basin 1) with an investment of R$ 321.8 million and an execution period of 1,620 days."</w:t>
      </w:r>
    </w:p>
    <w:p>
      <w:pPr>
        <w:spacing w:after="120"/>
      </w:pPr>
      <w:r>
        <w:rPr>
          <w:b w:val="0"/>
          <w:i w:val="0"/>
          <w:sz w:val="17"/>
        </w:rPr>
        <w:t>Leitura: confirma na fonte oficial que a Bacia 1 é o lado Norte, com R$ 321,8 milhões e prazo de 1.620 dias, sendo a "segunda etapa" do programa.</w:t>
      </w:r>
    </w:p>
    <w:p>
      <w:pPr>
        <w:spacing w:after="120"/>
      </w:pPr>
      <w:r>
        <w:rPr>
          <w:b w:val="0"/>
          <w:i w:val="0"/>
          <w:sz w:val="17"/>
        </w:rPr>
        <w:t>[E02] URL: mesmas de E01 (família DER-ES/Governo ES/Em Dia ES/Hoje ES) | Fonte: DER-ES / Governo ES | Data: mar/2026 | (via snippet de busca; site bloqueado)</w:t>
      </w:r>
    </w:p>
    <w:p>
      <w:pPr>
        <w:spacing w:after="120"/>
      </w:pPr>
      <w:r>
        <w:rPr>
          <w:b w:val="0"/>
          <w:i w:val="0"/>
          <w:color w:val="595959"/>
          <w:sz w:val="17"/>
        </w:rPr>
        <w:t>[EN-sint] "There are 13.5 kilometers of drainage network planned, with simple, double and triple galleries, totaling more than 13.5 thousand linear meters, plus approximately 125 thousand square meters of paving. Additionally, the system will have a flow capacity of up to 15 thousand liters per second and will have pumping stations, increasing efficiency in rainwater drainage throughout the region."</w:t>
      </w:r>
    </w:p>
    <w:p>
      <w:pPr>
        <w:spacing w:after="120"/>
      </w:pPr>
      <w:r>
        <w:rPr>
          <w:b w:val="0"/>
          <w:i w:val="0"/>
          <w:sz w:val="17"/>
        </w:rPr>
        <w:t>Leitura: confirma os números do edital da Bacia 1 — 13,5 km de galerias (simples, duplas e triplas), ~125 mil m² de pavimentação, vazão de até 15 mil L/s e estações de bombeamento.</w:t>
      </w:r>
    </w:p>
    <w:p>
      <w:pPr>
        <w:spacing w:after="120"/>
      </w:pPr>
      <w:r>
        <w:rPr>
          <w:b w:val="0"/>
          <w:i w:val="0"/>
          <w:sz w:val="17"/>
        </w:rPr>
        <w:t>[E03] URL: https://emdiaes.com.br/politica/governo-anuncia-edital-para-nova-etapa-da-macrodrenagem-de-guriri-em-sao-mateus/ (e espelhos de E01) | Fonte: Em Dia ES (reprodução de release do Governo ES) | Data: 24/03/2026 | (via snippet de busca; site bloqueado)</w:t>
      </w:r>
    </w:p>
    <w:p>
      <w:pPr>
        <w:spacing w:after="120"/>
      </w:pPr>
      <w:r>
        <w:rPr>
          <w:b w:val="0"/>
          <w:i w:val="0"/>
          <w:color w:val="595959"/>
          <w:sz w:val="17"/>
        </w:rPr>
        <w:t>[EN-sint] "The macrodrenagem interventions in Guriri will reach important avenues in the beach resort, including Avenida Décima Primeira, Avenida Nona, Avenida Esbertalina Barbosa Damiani and Avenida Hélio Faria Santos, along with strategic streets, promoting a complete restructuring of local urban infrastructure. The state governor Renato Casagrande and vice-governor Ricardo Ferraço announced on Tuesday (March 24, 2026) the publication of the public call notice for the second stage of macrodrenagem works in the beach resort of Guriri, in São Mateus."</w:t>
      </w:r>
    </w:p>
    <w:p>
      <w:pPr>
        <w:spacing w:after="120"/>
      </w:pPr>
      <w:r>
        <w:rPr>
          <w:b w:val="0"/>
          <w:i w:val="0"/>
          <w:sz w:val="17"/>
        </w:rPr>
        <w:t>Leitura: única lista de vias da Bacia 1 encontrada — Av. Décima Primeira, Av. Nona, Av. Esbertalina Barbosa Damiani e Av. Hélio Faria Santos, "além de ruas estratégicas"; também fixa a data do anúncio (24/03/2026). Obs.: Av. Hélio Faria Santos tem CEP de Guriri Norte (29946-580, ver E32), coerente com "lado Norte".</w:t>
      </w:r>
    </w:p>
    <w:p>
      <w:pPr>
        <w:spacing w:after="120"/>
      </w:pPr>
      <w:r>
        <w:rPr>
          <w:b w:val="0"/>
          <w:i w:val="0"/>
          <w:sz w:val="17"/>
        </w:rPr>
        <w:t>[E04] URL: família de E01 | Fonte: DER-ES | Data: mar/2026 | (via snippet de busca; site bloqueado)</w:t>
      </w:r>
    </w:p>
    <w:p>
      <w:pPr>
        <w:spacing w:after="120"/>
      </w:pPr>
      <w:r>
        <w:rPr>
          <w:b w:val="0"/>
          <w:i w:val="0"/>
          <w:color w:val="595959"/>
          <w:sz w:val="17"/>
        </w:rPr>
        <w:t>[EN-sint] "The DER-ES published a notice of bidding in electronic auction format (Concorrência Eletrônica) in the Official State Gazette (Diário Oficial do Estado) for the hiring of executive projects and macrodrenage and paving works in the Balneário de Guriri... The Commission for Contracting Construction Works and Infrastructure Services under the Integrated Contracting System of DER-ES launched the bidding, which will be conducted through the State Government's electronic system."</w:t>
      </w:r>
    </w:p>
    <w:p>
      <w:pPr>
        <w:spacing w:after="120"/>
      </w:pPr>
      <w:r>
        <w:rPr>
          <w:b w:val="0"/>
          <w:i w:val="0"/>
          <w:sz w:val="17"/>
        </w:rPr>
        <w:t>Leitura: a licitação da Bacia 1 é concorrência eletrônica publicada no DIO-ES, em regime de contratação integrada (projeto executivo + obra), conduzida por comissão específica do DER-ES; o número do edital não apareceu nos snippets.</w:t>
      </w:r>
    </w:p>
    <w:p>
      <w:pPr>
        <w:spacing w:after="120"/>
      </w:pPr>
      <w:r>
        <w:rPr>
          <w:b w:val="0"/>
          <w:i w:val="0"/>
          <w:sz w:val="17"/>
        </w:rPr>
        <w:t>[E05] URL: https://tconline.com.br/freitas-afirma-que-casagrande-lanca-edital-para-macrodrenagem-do-lado-norte-de-guriri-ainda-neste-mes/ | Fonte: TC Online | Data: mar/2026 (pré-anúncio) | (via snippet de busca; site bloqueado)</w:t>
      </w:r>
    </w:p>
    <w:p>
      <w:pPr>
        <w:spacing w:after="120"/>
      </w:pPr>
      <w:r>
        <w:rPr>
          <w:b w:val="0"/>
          <w:i w:val="0"/>
          <w:color w:val="595959"/>
          <w:sz w:val="17"/>
        </w:rPr>
        <w:t>[Título literal] "Freitas afirma que Casagrande lança edital para macrodrenagem do lado norte de Guriri ainda neste mês"</w:t>
      </w:r>
    </w:p>
    <w:p>
      <w:pPr>
        <w:spacing w:after="120"/>
      </w:pPr>
      <w:r>
        <w:rPr>
          <w:b w:val="0"/>
          <w:i w:val="0"/>
          <w:sz w:val="17"/>
        </w:rPr>
        <w:t>Leitura: o deputado Freitas antecipou publicamente o lançamento do edital do lado Norte (Bacia 1) no mesmo mês do anúncio oficial.</w:t>
      </w:r>
    </w:p>
    <w:p>
      <w:pPr>
        <w:spacing w:after="120" w:before="160"/>
      </w:pPr>
      <w:r>
        <w:rPr>
          <w:b/>
          <w:i w:val="0"/>
          <w:sz w:val="22"/>
        </w:rPr>
        <w:t>1b. Macrodrenagem — Bacia 2 (lado Sul; em obra)</w:t>
      </w:r>
    </w:p>
    <w:p>
      <w:pPr>
        <w:spacing w:after="120"/>
      </w:pPr>
      <w:r>
        <w:rPr>
          <w:b w:val="0"/>
          <w:i w:val="0"/>
          <w:sz w:val="17"/>
        </w:rPr>
        <w:t>[E06] URL: https://es1.com.br/macrodrenagem-alagamentos-em-guriri-estao-com-os-dias-contados-diz-freitas/ (mesmo texto-base da família E01) | Fonte: ES1 / release Governo ES | Data: 2026 | (via snippet de busca; site bloqueado)</w:t>
      </w:r>
    </w:p>
    <w:p>
      <w:pPr>
        <w:spacing w:after="120"/>
      </w:pPr>
      <w:r>
        <w:rPr>
          <w:b w:val="0"/>
          <w:i w:val="0"/>
          <w:color w:val="595959"/>
          <w:sz w:val="17"/>
        </w:rPr>
        <w:t>[PT] "A primeira etapa, já em andamento no lado Sul (bacia 2), conta com investimento de R$ 306,5 milhões e já executou mais de 2,5 quilômetros de galerias, avançando para um total previsto de 10,6 quilômetros."</w:t>
      </w:r>
    </w:p>
    <w:p>
      <w:pPr>
        <w:spacing w:after="120"/>
      </w:pPr>
      <w:r>
        <w:rPr>
          <w:b w:val="0"/>
          <w:i w:val="0"/>
          <w:sz w:val="17"/>
        </w:rPr>
        <w:t>Leitura: em março/2026 a Bacia 2 (lado Sul) tinha contrato de R$ 306,5 milhões e mais de 2,5 km de galerias executados, de um total previsto de 10,6 km.</w:t>
      </w:r>
    </w:p>
    <w:p>
      <w:pPr>
        <w:spacing w:after="120"/>
      </w:pPr>
      <w:r>
        <w:rPr>
          <w:b w:val="0"/>
          <w:i w:val="0"/>
          <w:sz w:val="17"/>
        </w:rPr>
        <w:t>[E07] URL: https://es1.com.br/macrodrenagem-alagamentos-em-guriri-estao-com-os-dias-contados-diz-freitas/ e https://der.es.gov.br/Not%C3%ADcia/der-es-reune-moradores-e-comerciantes-de-sao-mateus-para-tirar-duvidas-sobre-as-obras-de-macrodrenagem-de-guriri | Fonte: ES1 / DER-ES | Data: 2025–2026 | (via snippet de busca; site bloqueado)</w:t>
      </w:r>
    </w:p>
    <w:p>
      <w:pPr>
        <w:spacing w:after="120"/>
      </w:pPr>
      <w:r>
        <w:rPr>
          <w:b w:val="0"/>
          <w:i w:val="0"/>
          <w:color w:val="595959"/>
          <w:sz w:val="17"/>
        </w:rPr>
        <w:t>[PT] "Atualmente, os trabalhos estão concentrados na chamada Bacia 2, considerada a primeira etapa da execução e que já supera 25% de avanço das obras."</w:t>
      </w:r>
    </w:p>
    <w:p>
      <w:pPr>
        <w:spacing w:after="120"/>
      </w:pPr>
      <w:r>
        <w:rPr>
          <w:b w:val="0"/>
          <w:i w:val="0"/>
          <w:sz w:val="17"/>
        </w:rPr>
        <w:t>Leitura: percentual oficial de avanço da Bacia 2 divulgado: acima de 25% (na data das matérias, 2025/2026).</w:t>
      </w:r>
    </w:p>
    <w:p>
      <w:pPr>
        <w:spacing w:after="120"/>
      </w:pPr>
      <w:r>
        <w:rPr>
          <w:b w:val="0"/>
          <w:i w:val="0"/>
          <w:sz w:val="17"/>
        </w:rPr>
        <w:t>[E08] URL: https://sitebarra.com.br/v8/guriri-consorcio-comeca-macrodrenagem-depois-do-carnaval/ e https://esbrasil.com.br/der-es-faz-novo-desvio-para-obras-de-macrodrenagem-em-guriri/ | Fonte: SiteBarra / ES Brasil | Data: ~2022-11 (assinatura) | (via snippet de busca; site bloqueado)</w:t>
      </w:r>
    </w:p>
    <w:p>
      <w:pPr>
        <w:spacing w:after="120"/>
      </w:pPr>
      <w:r>
        <w:rPr>
          <w:b w:val="0"/>
          <w:i w:val="0"/>
          <w:color w:val="595959"/>
          <w:sz w:val="17"/>
        </w:rPr>
        <w:t>[EN-sint] "The state will invest approximately R$ 350 million in the works, to be executed by the Consórcio Guriri CT, formed by the companies Contractor Engenharia and Transmar Consultoria e Engenharia. The execution deadline was 43 months. ... Governor Renato Casagrande signed the contract in a ceremony on November 20 (in connection with the National Day of Black Consciousness). ... The first stage of macrodrenagem works in Guriri was scheduled to begin after Carnival."</w:t>
      </w:r>
    </w:p>
    <w:p>
      <w:pPr>
        <w:spacing w:after="120"/>
      </w:pPr>
      <w:r>
        <w:rPr>
          <w:b w:val="0"/>
          <w:i w:val="0"/>
          <w:sz w:val="17"/>
        </w:rPr>
        <w:t>Leitura: executor da Bacia 2 é o Consórcio Guriri CT (Contractor Engenharia + Transmar Consultoria e Engenharia), contrato assinado em 20 de novembro (Dia da Consciência Negra; pelas matérias correlatas, novembro/2022), prazo 43 meses, com início de obras após o Carnaval (2023).</w:t>
      </w:r>
    </w:p>
    <w:p>
      <w:pPr>
        <w:spacing w:after="120"/>
      </w:pPr>
      <w:r>
        <w:rPr>
          <w:b w:val="0"/>
          <w:i w:val="0"/>
          <w:sz w:val="17"/>
        </w:rPr>
        <w:t>[E09] URL: https://der.es.gov.br/Not%C3%ADcia/publicado-edital-para-projeto-e-obras-de-macrodrenagem-no-balneario-de-guriri-em-sao-mateus | Fonte: DER-ES | Data: 2022 (edital da Bacia 2) | (via snippet de busca; site bloqueado)</w:t>
      </w:r>
    </w:p>
    <w:p>
      <w:pPr>
        <w:spacing w:after="120"/>
      </w:pPr>
      <w:r>
        <w:rPr>
          <w:b w:val="0"/>
          <w:i w:val="0"/>
          <w:color w:val="595959"/>
          <w:sz w:val="17"/>
        </w:rPr>
        <w:t>[EN-sint] "The estimated value of the investment by the State Government was R$ 343,977,056.71 and the execution period was 43 months... The contracting was conducted through a Regime Diferenciado de Contratação Integrada (RDCI), in which the winning company would be responsible for both the development of the executive project and the execution of the work."</w:t>
      </w:r>
    </w:p>
    <w:p>
      <w:pPr>
        <w:spacing w:after="120"/>
      </w:pPr>
      <w:r>
        <w:rPr>
          <w:b w:val="0"/>
          <w:i w:val="0"/>
          <w:sz w:val="17"/>
        </w:rPr>
        <w:t>Leitura: o edital da Bacia 2 saiu por RDC-Integrado com valor estimado de R$ 343.977.056,71 e 43 meses; o contrato foi fechado abaixo do estimado (R$ 306,5 mi, E06).</w:t>
      </w:r>
    </w:p>
    <w:p>
      <w:pPr>
        <w:spacing w:after="120"/>
      </w:pPr>
      <w:r>
        <w:rPr>
          <w:b w:val="0"/>
          <w:i w:val="0"/>
          <w:sz w:val="17"/>
        </w:rPr>
        <w:t>[E10] URL: https://tconline.com.br/casagrande-afirma-que-obras-da-macrodrenagem-de-guriri-comecam-depois-do-carnaval/ | Fonte: TC Online | Data: ~2022/2023 | (via snippet de busca; site bloqueado)</w:t>
      </w:r>
    </w:p>
    <w:p>
      <w:pPr>
        <w:spacing w:after="120"/>
      </w:pPr>
      <w:r>
        <w:rPr>
          <w:b w:val="0"/>
          <w:i w:val="0"/>
          <w:color w:val="595959"/>
          <w:sz w:val="17"/>
        </w:rPr>
        <w:t>[EN-sint] "The project has a 43-month timeline and investment exceeding R$ 343.9 million, providing approximately nine kilometers of storm drainage network, in addition to paving and sidewalks... The bidding was completed and its homologation was published in the State Official Gazette on the last Thursday (7)."</w:t>
      </w:r>
    </w:p>
    <w:p>
      <w:pPr>
        <w:spacing w:after="120"/>
      </w:pPr>
      <w:r>
        <w:rPr>
          <w:b w:val="0"/>
          <w:i w:val="0"/>
          <w:sz w:val="17"/>
        </w:rPr>
        <w:t>Leitura: registra a homologação da licitação da Bacia 2 no DIO-ES (numa quinta-feira, dia 7) e o escopo anunciado de ~9 km de rede de drenagem + pavimentação e calçadas.</w:t>
      </w:r>
    </w:p>
    <w:p>
      <w:pPr>
        <w:spacing w:after="120"/>
      </w:pPr>
      <w:r>
        <w:rPr>
          <w:b w:val="0"/>
          <w:i w:val="0"/>
          <w:sz w:val="17"/>
        </w:rPr>
        <w:t>[E11] URL: https://saomateusnoticias.com.br/guriri-transito-alterado-na-es-010-para-avanco-das-obras-de-macrodrenagem/ e https://es1.com.br/macrodrenagem-alagamentos-em-guriri-estao-com-os-dias-contados-diz-freitas/ | Fonte: São Mateus Notícias / ES1 | Data: 2025 | (via snippet de busca; site bloqueado)</w:t>
      </w:r>
    </w:p>
    <w:p>
      <w:pPr>
        <w:spacing w:after="120"/>
      </w:pPr>
      <w:r>
        <w:rPr>
          <w:b w:val="0"/>
          <w:i w:val="0"/>
          <w:color w:val="595959"/>
          <w:sz w:val="17"/>
        </w:rPr>
        <w:t>[PT] "Além dessas, a fase inicial abrange a Avenida Oceano Índico, Rua Boa Esperança, Avenida Quinta, Rua XXI, Avenida Homero Zordan, Avenida Rafael Barbosa e Rua José Bonomo."</w:t>
      </w:r>
    </w:p>
    <w:p>
      <w:pPr>
        <w:spacing w:after="120"/>
      </w:pPr>
      <w:r>
        <w:rPr>
          <w:b w:val="0"/>
          <w:i w:val="0"/>
          <w:sz w:val="17"/>
        </w:rPr>
        <w:t>Leitura: vias nomeadas da fase inicial (Bacia 2, lado Sul): Av. Oceano Índico, Rua Boa Esperança, Av. Quinta, Rua XXI, Av. Homero Zordan, Av. Rafael Barbosa e Rua José Bonomo.</w:t>
      </w:r>
    </w:p>
    <w:p>
      <w:pPr>
        <w:spacing w:after="120"/>
      </w:pPr>
      <w:r>
        <w:rPr>
          <w:b w:val="0"/>
          <w:i w:val="0"/>
          <w:sz w:val="17"/>
        </w:rPr>
        <w:t>[E12] URL: https://sedurb.es.gov.br/Not%C3%ADcia/governo-do-estado-anuncia-edital-para-obras-de-macrodrenagem-em-sao-mateus e https://www.es.gov.br/Noticia/sao-mateus-recebe-novas-obras-e-investimentos-do-governo-do-estado-2 | Fonte: Sedurb / Governo ES | Data: junho/2022 (conforme busca) | (via snippet de busca; site bloqueado)</w:t>
      </w:r>
    </w:p>
    <w:p>
      <w:pPr>
        <w:spacing w:after="120"/>
      </w:pPr>
      <w:r>
        <w:rPr>
          <w:b w:val="0"/>
          <w:i w:val="0"/>
          <w:color w:val="595959"/>
          <w:sz w:val="17"/>
        </w:rPr>
        <w:t>[PT] "As avenidas contempladas com a macrodrenagem são: Esbertalina Barbosa Damiani; Espera Feliz; e a Governador Eurico Vieira Rezende."</w:t>
      </w:r>
    </w:p>
    <w:p>
      <w:pPr>
        <w:spacing w:after="120"/>
      </w:pPr>
      <w:r>
        <w:rPr>
          <w:b w:val="0"/>
          <w:i w:val="0"/>
          <w:color w:val="595959"/>
          <w:sz w:val="17"/>
        </w:rPr>
        <w:t>[EN-sint] "The project will construct 4,170 meters of drainage galleries, in addition to paving three avenues in Guriri, with an investment of R$ 33 million. ... The State Government, through Sedurb, is executing drainage and paving services on Avenidas Esbertalina Barbosa Damiani, Espera Feliz, and Governador Eurico Vieira Rezende to reduce flood-prone areas."</w:t>
      </w:r>
    </w:p>
    <w:p>
      <w:pPr>
        <w:spacing w:after="120"/>
      </w:pPr>
      <w:r>
        <w:rPr>
          <w:b w:val="0"/>
          <w:i w:val="0"/>
          <w:sz w:val="17"/>
        </w:rPr>
        <w:t>Leitura: projeto de drenagem/pavimentação da Sedurb (edital de 2022, R$ 33 milhões — algumas fontes citam R$ 33,5 mi) com 4.170 m de galerias e pavimentação de TRÊS avenidas nomeadas: Esbertalina Barbosa Damiani, Espera Feliz e Governador Eurico Vieira Rezende. É intervenção anterior/complementar à macrodrenagem bilionária do DER-ES.</w:t>
      </w:r>
    </w:p>
    <w:p>
      <w:pPr>
        <w:spacing w:after="120"/>
      </w:pPr>
      <w:r>
        <w:rPr>
          <w:b w:val="0"/>
          <w:i w:val="0"/>
          <w:sz w:val="17"/>
        </w:rPr>
        <w:t>[E13] URL: https://der.es.gov.br/Noticia/der-es-faz-novo-desvio-para-obras-de-macrodrenagem-em-guriri-sao-mateus (espelho: https://esbrasil.com.br/der-es-faz-novo-desvio-para-obras-de-macrodrenagem-em-guriri/) | Fonte: DER-ES | Data: nov/2025 | (via snippet de busca; site bloqueado)</w:t>
      </w:r>
    </w:p>
    <w:p>
      <w:pPr>
        <w:spacing w:after="120"/>
      </w:pPr>
      <w:r>
        <w:rPr>
          <w:b w:val="0"/>
          <w:i w:val="0"/>
          <w:color w:val="595959"/>
          <w:sz w:val="17"/>
        </w:rPr>
        <w:t>[EN-sint] "A traffic diversion on ES-010 began on Tuesday, November 25, 2025, and runs until December 15, 2025, for macro-drainage works at the entrance to Guriri. During this period, the DER-ES maintains the diversion through Mucurici, Geraldo Pinto, and Boa Esperança streets... The roadway section to be closed has approximately 300 meters in length and requires excavation for the transposition of dual galleries on ES-010, passing beneath existing gas piping."</w:t>
      </w:r>
    </w:p>
    <w:p>
      <w:pPr>
        <w:spacing w:after="120"/>
      </w:pPr>
      <w:r>
        <w:rPr>
          <w:b w:val="0"/>
          <w:i w:val="0"/>
          <w:sz w:val="17"/>
        </w:rPr>
        <w:t>Leitura: obra da Bacia 2 na entrada de Guriri interditou ~300 m da ES-010 (25/11–15/12/2025) para travessia de galerias duplas sob a rodovia (e sob tubulação de gás), com desvio pelas ruas Mucurici, Geraldo Pinto e Boa Esperança.</w:t>
      </w:r>
    </w:p>
    <w:p>
      <w:pPr>
        <w:spacing w:after="120"/>
      </w:pPr>
      <w:r>
        <w:rPr>
          <w:b w:val="0"/>
          <w:i w:val="0"/>
          <w:sz w:val="17"/>
        </w:rPr>
        <w:t>[E14] URL: https://der.es.gov.br/Not%C3%ADcia/macrodrenagem-der-es-interdita-trecho-da-es-010-em-guriri-por-40-dias-a-partir-de-segunda-feira-11 | Fonte: DER-ES | Data: 2025 (11/05 a 21/06) | (via snippet de busca; site bloqueado)</w:t>
      </w:r>
    </w:p>
    <w:p>
      <w:pPr>
        <w:spacing w:after="120"/>
      </w:pPr>
      <w:r>
        <w:rPr>
          <w:b w:val="0"/>
          <w:i w:val="0"/>
          <w:color w:val="595959"/>
          <w:sz w:val="17"/>
        </w:rPr>
        <w:t>[EN-sint] "The closure ran from May 11 to June 21. The reason for the closure was the opening of trenches to cross the ES-010 for the installation of concrete galleries... One example was Raphael Brahim Street, where a simple 2x2m gallery was being installed, and in another nearby section there would be a triple 2x2m gallery crossing."</w:t>
      </w:r>
    </w:p>
    <w:p>
      <w:pPr>
        <w:spacing w:after="120"/>
      </w:pPr>
      <w:r>
        <w:rPr>
          <w:b w:val="0"/>
          <w:i w:val="0"/>
          <w:sz w:val="17"/>
        </w:rPr>
        <w:t>Leitura: outra interdição de 40 dias da ES-010 (11/05–21/06) para travessias de galerias; cita a Rua Raphael Brahim com galeria simples 2x2 m e travessia de galeria tripla 2x2 m em trecho próximo.</w:t>
      </w:r>
    </w:p>
    <w:p>
      <w:pPr>
        <w:spacing w:after="120"/>
      </w:pPr>
      <w:r>
        <w:rPr>
          <w:b w:val="0"/>
          <w:i w:val="0"/>
          <w:sz w:val="17"/>
        </w:rPr>
        <w:t>[E15] URL: família E13 (DER-ES) | Fonte: DER-ES | Data: 2025 | (via snippet de busca; site bloqueado)</w:t>
      </w:r>
    </w:p>
    <w:p>
      <w:pPr>
        <w:spacing w:after="120"/>
      </w:pPr>
      <w:r>
        <w:rPr>
          <w:b w:val="0"/>
          <w:i w:val="0"/>
          <w:color w:val="595959"/>
          <w:sz w:val="17"/>
        </w:rPr>
        <w:t>[EN-sint] "The system being implemented involves the construction of underground concrete galleries, responsible for conducting rainwater to the Rainwater Pumping Station (EBAP), from which the water will flow through an emissary to the Mariricu River."</w:t>
      </w:r>
    </w:p>
    <w:p>
      <w:pPr>
        <w:spacing w:after="120"/>
      </w:pPr>
      <w:r>
        <w:rPr>
          <w:b w:val="0"/>
          <w:i w:val="0"/>
          <w:sz w:val="17"/>
        </w:rPr>
        <w:t>Leitura: concepção hidráulica da Bacia 2 — galerias subterrâneas → Estação de Bombeamento de Águas Pluviais (EBAP) → emissário → Rio Mariricu.</w:t>
      </w:r>
    </w:p>
    <w:p>
      <w:pPr>
        <w:spacing w:after="120"/>
      </w:pPr>
      <w:r>
        <w:rPr>
          <w:b w:val="0"/>
          <w:i w:val="0"/>
          <w:sz w:val="17"/>
        </w:rPr>
        <w:t>[E16] URL: https://portaljornaldonorte.com.br/macrodrenagem-em-guriri-obra-historica-vai-transformar-realidade-de-moradores-e-impulsionar-turismo-no-litoral-norte-capixaba/ | Fonte: Portal Jornal do Norte | Data: 2025/2026 | (via snippet de busca; site bloqueado)</w:t>
      </w:r>
    </w:p>
    <w:p>
      <w:pPr>
        <w:spacing w:after="120"/>
      </w:pPr>
      <w:r>
        <w:rPr>
          <w:b w:val="0"/>
          <w:i w:val="0"/>
          <w:color w:val="595959"/>
          <w:sz w:val="17"/>
        </w:rPr>
        <w:t>[EN-sint] "With investment exceeding R$ 306 million from the State Government and execution by DER-ES, the project covers 8.2 kilometers in length... The work of macrodrenagem has been awaited for more than two decades."</w:t>
      </w:r>
    </w:p>
    <w:p>
      <w:pPr>
        <w:spacing w:after="120"/>
      </w:pPr>
      <w:r>
        <w:rPr>
          <w:b w:val="0"/>
          <w:i w:val="0"/>
          <w:sz w:val="17"/>
        </w:rPr>
        <w:t>Leitura: a mesma obra (Bacia 2) é descrita com 8,2 km de extensão (vs. 10,6 km de galerias em E06 — medidas de coisas distintas ou divergência entre fontes) e como demanda de mais de 20 anos. Ver também Relator News: https://relatornews.com.br/apos-mais-de-20-anos-de-espera-obra-de-macrodrenagem-em-guriri-finalmente-sai-do-papel/</w:t>
      </w:r>
    </w:p>
    <w:p>
      <w:pPr>
        <w:spacing w:after="120"/>
      </w:pPr>
      <w:r>
        <w:rPr>
          <w:b w:val="0"/>
          <w:i w:val="0"/>
          <w:sz w:val="17"/>
        </w:rPr>
        <w:t>[E17] URL: https://der.es.gov.br/Not%C3%ADcia/der-es-reune-moradores-e-comerciantes-de-sao-mateus-para-tirar-duvidas-sobre-as-obras-de-macrodrenagem-de-guriri | Fonte: DER-ES | Data: 2025 | (via snippet de busca; site bloqueado)</w:t>
      </w:r>
    </w:p>
    <w:p>
      <w:pPr>
        <w:spacing w:after="120"/>
      </w:pPr>
      <w:r>
        <w:rPr>
          <w:b w:val="0"/>
          <w:i w:val="0"/>
          <w:color w:val="595959"/>
          <w:sz w:val="17"/>
        </w:rPr>
        <w:t>[EN-sint] "A meeting was held on Monday, the 16th, presided over by José Eustáquio de Freitas, director-general of DER-ES, at the Auditorium of Wallace Castelo Dutra State School... The meeting with the communities is part of a contractual requirement that provides for this dialogue before, during, and after the conclusion of the State Government works... galleries of different dimensions—simple, double, and even triple structures—plus systems with large sections for rainwater drainage."</w:t>
      </w:r>
    </w:p>
    <w:p>
      <w:pPr>
        <w:spacing w:after="120"/>
      </w:pPr>
      <w:r>
        <w:rPr>
          <w:b w:val="0"/>
          <w:i w:val="0"/>
          <w:sz w:val="17"/>
        </w:rPr>
        <w:t>Leitura: o DER-ES mantém obrigação contratual de diálogo com moradores/comerciantes durante a obra; direção-geral do DER-ES: José Eustáquio de Freitas.</w:t>
      </w:r>
    </w:p>
    <w:p>
      <w:pPr>
        <w:spacing w:after="120" w:before="160"/>
      </w:pPr>
      <w:r>
        <w:rPr>
          <w:b/>
          <w:i w:val="0"/>
          <w:sz w:val="22"/>
        </w:rPr>
        <w:t>1c. Macrodrenagem — Bacia 3 e programa completo (~R$ 1 bilhão)</w:t>
      </w:r>
    </w:p>
    <w:p>
      <w:pPr>
        <w:spacing w:after="120"/>
      </w:pPr>
      <w:r>
        <w:rPr>
          <w:b w:val="0"/>
          <w:i w:val="0"/>
          <w:sz w:val="17"/>
        </w:rPr>
        <w:t>[E18] URL: https://tconline.com.br/freitas-afirma-que-casagrande-lanca-edital-para-macrodrenagem-do-lado-norte-de-guriri-ainda-neste-mes/ (e família E01) | Fonte: TC Online / DER-ES | Data: mar/2026 | (via snippet de busca; site bloqueado)</w:t>
      </w:r>
    </w:p>
    <w:p>
      <w:pPr>
        <w:spacing w:after="120"/>
      </w:pPr>
      <w:r>
        <w:rPr>
          <w:b w:val="0"/>
          <w:i w:val="0"/>
          <w:color w:val="595959"/>
          <w:sz w:val="17"/>
        </w:rPr>
        <w:t>[PT] "As obras de macrodrenagem de Guriri foram divididas em três etapas – bacias 1, 2 e 3. A primeira foi iniciada, a segunda deve ser anunciada ainda neste mês e a terceira não tem previsão para começar, segundo o diretor-presidente do DER-ES."</w:t>
      </w:r>
    </w:p>
    <w:p>
      <w:pPr>
        <w:spacing w:after="120"/>
      </w:pPr>
      <w:r>
        <w:rPr>
          <w:b w:val="0"/>
          <w:i w:val="0"/>
          <w:color w:val="595959"/>
          <w:sz w:val="17"/>
        </w:rPr>
        <w:t>[PT] "A obra foi estruturada em três etapas, chamadas de bacias, devido ao alto custo e à complexidade da intervenção."</w:t>
      </w:r>
    </w:p>
    <w:p>
      <w:pPr>
        <w:spacing w:after="120"/>
      </w:pPr>
      <w:r>
        <w:rPr>
          <w:b w:val="0"/>
          <w:i w:val="0"/>
          <w:sz w:val="17"/>
        </w:rPr>
        <w:t>Leitura: estado da Bacia 3 em março/2026: SEM previsão de início e sem escopo/valor publicados; a divisão em bacias decorre de custo e complexidade.</w:t>
      </w:r>
    </w:p>
    <w:p>
      <w:pPr>
        <w:spacing w:after="120"/>
      </w:pPr>
      <w:r>
        <w:rPr>
          <w:b w:val="0"/>
          <w:i w:val="0"/>
          <w:sz w:val="17"/>
        </w:rPr>
        <w:t>[E19] URL: https://horadanoticiaonline.com.br/?p=15159 ("Macrodrenagem de Guriri custará R$ 1 bilhão, diz Casagrande") e família E01 | Fonte: Hora da Notícia / Governo ES | Data: 2026 | (via snippet de busca; site bloqueado)</w:t>
      </w:r>
    </w:p>
    <w:p>
      <w:pPr>
        <w:spacing w:after="120"/>
      </w:pPr>
      <w:r>
        <w:rPr>
          <w:b w:val="0"/>
          <w:i w:val="0"/>
          <w:color w:val="595959"/>
          <w:sz w:val="17"/>
        </w:rPr>
        <w:t>[EN-sint] "The total investment across three stages is expected to reach approximately R$ 1 billion, as stated by Governor Renato Casagrande. ... These three phases, when completed, will total R$ 1 billion in investments, representing a true transformation being carried out in the region."</w:t>
      </w:r>
    </w:p>
    <w:p>
      <w:pPr>
        <w:spacing w:after="120"/>
      </w:pPr>
      <w:r>
        <w:rPr>
          <w:b w:val="0"/>
          <w:i w:val="0"/>
          <w:sz w:val="17"/>
        </w:rPr>
        <w:t>Leitura: o programa completo (Bacias 1+2+3) é estimado pelo próprio governador em ~R$ 1 bilhão.</w:t>
      </w:r>
    </w:p>
    <w:p>
      <w:pPr>
        <w:spacing w:after="120"/>
      </w:pPr>
      <w:r>
        <w:rPr>
          <w:b w:val="0"/>
          <w:i w:val="0"/>
          <w:sz w:val="17"/>
        </w:rPr>
      </w:r>
    </w:p>
    <w:p>
      <w:pPr>
        <w:spacing w:after="120" w:before="160"/>
      </w:pPr>
      <w:r>
        <w:rPr>
          <w:b/>
          <w:i w:val="0"/>
          <w:sz w:val="22"/>
        </w:rPr>
        <w:t>2. Pavimentação já executada / em execução em Guriri (fora da macrodrenagem)</w:t>
      </w:r>
    </w:p>
    <w:p>
      <w:pPr>
        <w:spacing w:after="120"/>
      </w:pPr>
      <w:r>
        <w:rPr>
          <w:b w:val="0"/>
          <w:i w:val="0"/>
          <w:sz w:val="17"/>
        </w:rPr>
        <w:t>[E20] URL: https://sedurb.es.gov.br/calcamento-de-ruas-em-sao-mateus-vai-benefici ("Calçamento de ruas em São Mateus vai beneficiar 27 mil pessoas") | Fonte: Sedurb | Data: não visível no snippet (matéria antiga, programa estadual de calçamento) | (via snippet de busca; site bloqueado)</w:t>
      </w:r>
    </w:p>
    <w:p>
      <w:pPr>
        <w:spacing w:after="120"/>
      </w:pPr>
      <w:r>
        <w:rPr>
          <w:b w:val="0"/>
          <w:i w:val="0"/>
          <w:color w:val="595959"/>
          <w:sz w:val="17"/>
        </w:rPr>
        <w:t>[PT] "Aproximadamente 27 mil moradores de São Mateus, no Litoral Norte capixaba, serão beneficiados com obras de calçamento em treze bairros do município. A população beneficiada é residente nos bairros Bom Sucesso 1, Bom Sucesso 2, Vaversa, Guriri, Quilômetro 13, Rio Preto, Alvorada, Carapina, Nova Aimorés, Morada do Ribeirão, Cohab, Lago do Cisnes e Arueira. O investimento de mais de R$ 5 milhões viabilizará obras de calçamento em 52 ruas da cidade, totalizando 68.211,77 metros quadrados de área pavimentada."</w:t>
      </w:r>
    </w:p>
    <w:p>
      <w:pPr>
        <w:spacing w:after="120"/>
      </w:pPr>
      <w:r>
        <w:rPr>
          <w:b w:val="0"/>
          <w:i w:val="0"/>
          <w:sz w:val="17"/>
        </w:rPr>
        <w:t>Leitura: programa estadual (Sedurb) de calçamento em 13 bairros incluiu Guriri — 52 ruas e 68.211,77 m² no total do município (sem lista de quais ruas de Guriri).</w:t>
      </w:r>
    </w:p>
    <w:p>
      <w:pPr>
        <w:spacing w:after="120"/>
      </w:pPr>
      <w:r>
        <w:rPr>
          <w:b w:val="0"/>
          <w:i w:val="0"/>
          <w:sz w:val="17"/>
        </w:rPr>
        <w:t>[E21] URL: https://tconline.com.br/extensao-do-calcamento-na-orla-norte-de-guriri-e-inaugurada/ | Fonte: TC Online | Data: não visível no snippet ("quinta-feira (4)"; gestão do prefeito Daniel Santana, 2021+) | (via snippet de busca; site bloqueado)</w:t>
      </w:r>
    </w:p>
    <w:p>
      <w:pPr>
        <w:spacing w:after="120"/>
      </w:pPr>
      <w:r>
        <w:rPr>
          <w:b w:val="0"/>
          <w:i w:val="0"/>
          <w:color w:val="595959"/>
          <w:sz w:val="17"/>
        </w:rPr>
        <w:t>[EN-sint] "The mayor Daniel Santana and deputy Josias Da Vitória inaugurated on Thursday morning (4th) the extension of the pavement of Avenida Oceano Atlântico on the north side of Guriri's waterfront. The ceremony took place on the sidewalk near the Guriri Beach water park. According to the Works Department, the pavement comprises a total of 18,247 square meters over an extension of 1.4 kilometers... The work is being constructed with funds from parliamentary amendments by federal deputy Da Vitória... with matching funds from the São Mateus Municipal Government."</w:t>
      </w:r>
    </w:p>
    <w:p>
      <w:pPr>
        <w:spacing w:after="120"/>
      </w:pPr>
      <w:r>
        <w:rPr>
          <w:b w:val="0"/>
          <w:i w:val="0"/>
          <w:sz w:val="17"/>
        </w:rPr>
        <w:t>Leitura: a Prefeitura inaugurou a extensão do calçamento da Av. Oceano Atlântico (orla norte): 18.247 m² em 1,4 km, com emendas federais (dep. Da Vitória) + contrapartida municipal.</w:t>
      </w:r>
    </w:p>
    <w:p>
      <w:pPr>
        <w:spacing w:after="120"/>
      </w:pPr>
      <w:r>
        <w:rPr>
          <w:b w:val="0"/>
          <w:i w:val="0"/>
          <w:sz w:val="17"/>
        </w:rPr>
        <w:t>[E22] URL: https://tconline.com.br/iniciada-a-urbanizacao-da-orla-de-guriri-no-lado-norte/ e https://correiocapixaba.com.br/public/publicacao/sao-mateus-inicia-as-obras-de-urbanizacao-da-orla-de-guriri-1679677187 e https://correio9.com.br/orla-de-guriri-obras-do-calcadao-ciclovia-e-passeio-avancam-na-av-oceano-atlantico/ e https://revistaekletica.com.br/revitalizacao-da-orla-de-guriri-continua-avancando/ | Fonte: TC Online / Correio Capixaba / Correio9 / Ekletica | Data: início mar/2023 (timestamp do Correio Capixaba = 24/03/2023); avanço ~70% em abril/2024 | (via snippet de busca; site bloqueado)</w:t>
      </w:r>
    </w:p>
    <w:p>
      <w:pPr>
        <w:spacing w:after="120"/>
      </w:pPr>
      <w:r>
        <w:rPr>
          <w:b w:val="0"/>
          <w:i w:val="0"/>
          <w:color w:val="595959"/>
          <w:sz w:val="17"/>
        </w:rPr>
        <w:t>[EN-sint] "The Municipality of São Mateus has begun paving Avenida Oceano Atlântico on the shoreline of Guriri on the north side, in the stretch near the Tamar Project... the project covering the stretch from the Guriri Beach aquatic park to near the boundary between São Mateus and Conceição da Barra. The urbanization includes 18,247 square meters of paving, 2,045 m² of bicycle path, 3,987 m² of boardwalk, and 550 m² of landscaping... About 70% of the complete urbanization project had been completed as of April 2024."</w:t>
      </w:r>
    </w:p>
    <w:p>
      <w:pPr>
        <w:spacing w:after="120"/>
      </w:pPr>
      <w:r>
        <w:rPr>
          <w:b w:val="0"/>
          <w:i w:val="0"/>
          <w:sz w:val="17"/>
        </w:rPr>
        <w:t>Leitura: urbanização municipal da orla (Av. Oceano Atlântico, lado norte, do parque aquático até perto da divisa com Conceição da Barra/Projeto Tamar): 18.247 m² de pavimentação + 2.045 m² de ciclovia + 3.987 m² de calçadão + 550 m² de paisagismo; ~70% executado em abril/2024.</w:t>
      </w:r>
    </w:p>
    <w:p>
      <w:pPr>
        <w:spacing w:after="120"/>
      </w:pPr>
      <w:r>
        <w:rPr>
          <w:b w:val="0"/>
          <w:i w:val="0"/>
          <w:sz w:val="17"/>
        </w:rPr>
        <w:t>[E23] URL: https://www.saomateus.es.gov.br/noticia/esta-nascendo-uma-nova-guriri- | Fonte: Prefeitura de São Mateus | Data: ~2025 (1ª fase prevista para meados de 2026) | (via snippet de busca; site bloqueado)</w:t>
      </w:r>
    </w:p>
    <w:p>
      <w:pPr>
        <w:spacing w:after="120"/>
      </w:pPr>
      <w:r>
        <w:rPr>
          <w:b w:val="0"/>
          <w:i w:val="0"/>
          <w:color w:val="595959"/>
          <w:sz w:val="17"/>
        </w:rPr>
        <w:t>[EN-sint] "A project to urbanize Avenida Oceano Atlântico began, adding 1,080 meters of boardwalk, new paving from the Center to the Water Park, storm drain galleries, 12 portals and nine pedestrian bridges with viewpoints and lifeguard structures. The boardwalk extension started on the North Side, adding 810 meters, and after that the South Side boardwalk will gain 270 meters. The first phase was expected to be completed by mid-2026. The work includes a 6.7-meter-wide boardwalk, curb and bicycle lane."</w:t>
      </w:r>
    </w:p>
    <w:p>
      <w:pPr>
        <w:spacing w:after="120"/>
      </w:pPr>
      <w:r>
        <w:rPr>
          <w:b w:val="0"/>
          <w:i w:val="0"/>
          <w:sz w:val="17"/>
        </w:rPr>
        <w:t>Leitura: nova fase municipal de urbanização da orla ("Está nascendo uma nova Guriri"): +1.080 m de calçadão (810 m lado Norte, depois 270 m lado Sul), novo pavimento do Centro ao Parque Aquático, galerias pluviais, 12 portais e 9 passarelas; 1ª fase prevista para meados de 2026; calçadão de 6,7 m com ciclovia. Ver também https://saomateus.es.gov.br/noticia/prefeito-acompanha-pessoalmente-obras-em-guriri (prefeito Daniel acompanha rua de lazer, rampas de acesso à praia com postos de guarda-vidas, ciclovia no centro e paisagismo).</w:t>
      </w:r>
    </w:p>
    <w:p>
      <w:pPr>
        <w:spacing w:after="120"/>
      </w:pPr>
      <w:r>
        <w:rPr>
          <w:b w:val="0"/>
          <w:i w:val="0"/>
          <w:sz w:val="17"/>
        </w:rPr>
        <w:t>[E24] URL: https://www.es.gov.br/Noticia/governo-inaugura-pavimentacao-de-trecho-da-es-010-e-avanca-em-grandes-obras-em-guriri (espelho: https://www.esfala.com.br/2025/11/02/casagrande-inaugura-pavimentacao-da-es-010-entre-barra-nova-e-guriri-e-anuncia-novos-investimentos-em-sao-mateus/ ; https://sitebarra.com.br/v8/governo-inaugura-pavimentacao-de-trecho-da-es-010-e-avanca-em-grandes-obras-em-guriri/) | Fonte: Governo ES / ES Fala | Data: 01/11/2025 | (via snippet de busca; site bloqueado)</w:t>
      </w:r>
    </w:p>
    <w:p>
      <w:pPr>
        <w:spacing w:after="120"/>
      </w:pPr>
      <w:r>
        <w:rPr>
          <w:b w:val="0"/>
          <w:i w:val="0"/>
          <w:color w:val="595959"/>
          <w:sz w:val="17"/>
        </w:rPr>
        <w:t>[EN-sint] "Governor Renato Casagrande and Vice-Governor Ricardo Ferraço inaugurated the paving works of the ES-010 highway between Barra Nova and Guriri in São Mateus on Saturday morning (November 1st). The state government invested R$ 31 million in paving with interlocking concrete blocks in urban segments of the ES-010 highway, covering an extension of 19.86 kilometers."</w:t>
      </w:r>
    </w:p>
    <w:p>
      <w:pPr>
        <w:spacing w:after="120"/>
      </w:pPr>
      <w:r>
        <w:rPr>
          <w:b w:val="0"/>
          <w:i w:val="0"/>
          <w:sz w:val="17"/>
        </w:rPr>
        <w:t>Leitura: o eixo rodoviário da ilha ao sul (ES-010 Barra Nova–Guriri, 19,86 km) foi pavimentado com blocos intertravados por R$ 31 milhões e inaugurado em 01/11/2025.</w:t>
      </w:r>
    </w:p>
    <w:p>
      <w:pPr>
        <w:spacing w:after="120"/>
      </w:pPr>
      <w:r>
        <w:rPr>
          <w:b w:val="0"/>
          <w:i w:val="0"/>
          <w:sz w:val="17"/>
        </w:rPr>
        <w:t>[E25] URL: https://der.es.gov.br/Not%C3%ADcia/duplicacao-der-es-interdita-trecho-da-rodovia-othovarino-duarte-santos-em-sao-mateus (contexto: https://www.agazeta.com.br/agora/rodovia-othovarino-duarte-santos-sera-interditada-para-obras-de-drenagem-em-sao-mateus-0426) | Fonte: DER-ES / A Gazeta | Data: 2025/2026 (conclusão prevista dez/2026) | (via snippet de busca; site bloqueado)</w:t>
      </w:r>
    </w:p>
    <w:p>
      <w:pPr>
        <w:spacing w:after="120"/>
      </w:pPr>
      <w:r>
        <w:rPr>
          <w:b w:val="0"/>
          <w:i w:val="0"/>
          <w:color w:val="595959"/>
          <w:sz w:val="17"/>
        </w:rPr>
        <w:t>[EN-sint] "The total project extends from the ES-010 junction in Guriri to the BR-101 junction in downtown São Mateus, totaling 12.06 kilometers, with an investment of R$ 92,127,958.37 and an execution period of 910 days. The completion target is December 2026. ... implementation, duplication, rehabilitation, accesses, bridges and operational improvements of highways ES-010 (accesses) and ES-315 (Othovarino Duarte Santos)."</w:t>
      </w:r>
    </w:p>
    <w:p>
      <w:pPr>
        <w:spacing w:after="120"/>
      </w:pPr>
      <w:r>
        <w:rPr>
          <w:b w:val="0"/>
          <w:i w:val="0"/>
          <w:sz w:val="17"/>
        </w:rPr>
        <w:t>Leitura: a ligação Guriri–sede (Rodovia Othovarino Duarte Santos / ES-315 + acessos da ES-010) está em duplicação/reabilitação: 12,06 km, R$ 92,1 milhões, 910 dias, conclusão prevista para dezembro/2026 (inclui a Ponte da Pedra D'água — ver https://www.es.gov.br/Noticia/ponte-da-pedra-d-agua-recebe-vigas-de-concreto-em-guriri).</w:t>
      </w:r>
    </w:p>
    <w:p>
      <w:pPr>
        <w:spacing w:after="120"/>
      </w:pPr>
      <w:r>
        <w:rPr>
          <w:b w:val="0"/>
          <w:i w:val="0"/>
          <w:sz w:val="17"/>
        </w:rPr>
        <w:t>[E26] URL: https://der.es.gov.br/Not%C3%ADcia/der-es-inicia-obra-de-revitalizacao-da-via-principal-de-guriri (espelhos: https://eshoje.com.br/geral/cidades/2025/08/principal-via-de-guriri-entrara-em-obras-a-partir-desta-segunda-25/ ; https://tconline.com.br/obras-do-der-es-na-rodovia-othovarino-tem-inicio-em-guriri/) | Fonte: DER-ES / ES Hoje | Data: ago/2025 (início 25/08/2025) | (via snippet de busca; site bloqueado)</w:t>
      </w:r>
    </w:p>
    <w:p>
      <w:pPr>
        <w:spacing w:after="120"/>
      </w:pPr>
      <w:r>
        <w:rPr>
          <w:b w:val="0"/>
          <w:i w:val="0"/>
          <w:color w:val="595959"/>
          <w:sz w:val="17"/>
        </w:rPr>
        <w:t>[EN-sint] "The Department of Buildings and Roads of Espírito Santo (DER-ES) began revitalization works on the Othovarino Duarte Santos Highway, the main road in Guriri, São Mateus, starting August 25. ... The interdictions are planned to occur at different points of the highway until the bridge over the Rio Mariricu, in different phases, lasting approximately 45 days."</w:t>
      </w:r>
    </w:p>
    <w:p>
      <w:pPr>
        <w:spacing w:after="120"/>
      </w:pPr>
      <w:r>
        <w:rPr>
          <w:b w:val="0"/>
          <w:i w:val="0"/>
          <w:sz w:val="17"/>
        </w:rPr>
        <w:t>Leitura: a "via principal de Guriri" (trecho urbano da Rodovia Othovarino Duarte Santos) entrou em revitalização a partir de 25/08/2025, em fases (~45 dias) até a ponte do Rio Mariricu — ou seja, o eixo principal já pavimentado passou por recuperação.</w:t>
      </w:r>
    </w:p>
    <w:p>
      <w:pPr>
        <w:spacing w:after="120"/>
      </w:pPr>
      <w:r>
        <w:rPr>
          <w:b w:val="0"/>
          <w:i w:val="0"/>
          <w:sz w:val="17"/>
        </w:rPr>
        <w:t>[E27] URL: documentos municipais indexados (Prefeitura/Câmara de São Mateus — https://saomateus.es.gov.br e https://camarasaomateus.es.gov.br) | Fonte: atos oficiais municipais | Data: diversas | (via snippet de busca; sites bloqueados)</w:t>
      </w:r>
    </w:p>
    <w:p>
      <w:pPr>
        <w:spacing w:after="120"/>
      </w:pPr>
      <w:r>
        <w:rPr>
          <w:b w:val="0"/>
          <w:i w:val="0"/>
          <w:color w:val="595959"/>
          <w:sz w:val="17"/>
        </w:rPr>
        <w:t>[EN-sint] "The search results reference several street paving initiatives in Guriri, including paving with concrete blocks of Rua Neuza Sibien Ruberth, south side, located in the Guriri neighborhood, and paving of Rua Professor Amaro Nascimento Mendes, south side, section between Ruas Colatina and Mucurici, in the Guriri neighborhood."</w:t>
      </w:r>
    </w:p>
    <w:p>
      <w:pPr>
        <w:spacing w:after="120"/>
      </w:pPr>
      <w:r>
        <w:rPr>
          <w:b w:val="0"/>
          <w:i w:val="0"/>
          <w:sz w:val="17"/>
        </w:rPr>
        <w:t>Leitura: atos municipais registram calçamento com blocos de concreto da Rua Neuza Sibien Ruberth (lado Sul) e pavimentação da Rua Professor Amaro Nascimento Mendes (lado Sul, trecho entre as Ruas Colatina e Mucurici) — exemplos do padrão histórico de pavimentação pontual, rua a rua.</w:t>
      </w:r>
    </w:p>
    <w:p>
      <w:pPr>
        <w:spacing w:after="120"/>
      </w:pPr>
      <w:r>
        <w:rPr>
          <w:b w:val="0"/>
          <w:i w:val="0"/>
          <w:sz w:val="17"/>
        </w:rPr>
        <w:t>[E28] URL: https://sedurb.es.gov.br/Not%C3%ADcia/governo-do-estado-inaugura-obras-e-anuncia-novos-investimentos-em-sao-mateus (família "Governo do Estado inaugura obras...") | Fonte: Sedurb/Governo ES | Data: ~2024 | (via snippet de busca; site bloqueado)</w:t>
      </w:r>
    </w:p>
    <w:p>
      <w:pPr>
        <w:spacing w:after="120"/>
      </w:pPr>
      <w:r>
        <w:rPr>
          <w:b w:val="0"/>
          <w:i w:val="0"/>
          <w:color w:val="595959"/>
          <w:sz w:val="17"/>
        </w:rPr>
        <w:t>[EN-sint] "Foram anunciadas obras de construção de ciclovia, calçada cidadã, canteiros verdes em diversas ruas, construção de passarelas de madeira acessíveis e perfuração de poços artesianos... no bairro Balneário de Guriri. Ao todo, o investimento é de R$ 8,2 milhões, por meio da Secretaria de Saneamento, Habitação e Desenvolvimento Urbano (Sedurb)." [trecho retornado em PT pela busca]</w:t>
      </w:r>
    </w:p>
    <w:p>
      <w:pPr>
        <w:spacing w:after="120"/>
      </w:pPr>
      <w:r>
        <w:rPr>
          <w:b w:val="0"/>
          <w:i w:val="0"/>
          <w:sz w:val="17"/>
        </w:rPr>
        <w:t>Leitura: pacote Sedurb de R$ 8,2 milhões para Guriri: ciclovia, calçada cidadã, canteiros, passarelas de madeira acessíveis e poços — urbanização complementar, não pavimentação de pista.</w:t>
      </w:r>
    </w:p>
    <w:p>
      <w:pPr>
        <w:spacing w:after="120"/>
      </w:pPr>
      <w:r>
        <w:rPr>
          <w:b w:val="0"/>
          <w:i w:val="0"/>
          <w:sz w:val="17"/>
        </w:rPr>
        <w:t>[E29] URL: https://sedu.es.gov.br/Noticia/sao-mateus-recebe-novas-obras-e-investimentos-do-governo-do-estado (família "São Mateus recebe novas obras", jun/2022) | Fonte: Governo ES | Data: jun/2022 | (via snippet de busca; site bloqueado)</w:t>
      </w:r>
    </w:p>
    <w:p>
      <w:pPr>
        <w:spacing w:after="120"/>
      </w:pPr>
      <w:r>
        <w:rPr>
          <w:b w:val="0"/>
          <w:i w:val="0"/>
          <w:color w:val="595959"/>
          <w:sz w:val="17"/>
        </w:rPr>
        <w:t>[EN-sint] "Through the Fundo Cidades, the State Government will transfer R$ 7.84 million to the Municipal Investment Fund of São Mateus for developing a portfolio of structural projects and conducting infrastructure works."</w:t>
      </w:r>
    </w:p>
    <w:p>
      <w:pPr>
        <w:spacing w:after="120"/>
      </w:pPr>
      <w:r>
        <w:rPr>
          <w:b w:val="0"/>
          <w:i w:val="0"/>
          <w:sz w:val="17"/>
        </w:rPr>
        <w:t>Leitura: o Fundo Cidades repassou R$ 7,84 milhões ao Fundo Municipal de Investimentos de São Mateus (2022) — fonte de recursos para obras municipais, sem lista de ruas de Guriri nos snippets.</w:t>
      </w:r>
    </w:p>
    <w:p>
      <w:pPr>
        <w:spacing w:after="120"/>
      </w:pPr>
      <w:r>
        <w:rPr>
          <w:b w:val="0"/>
          <w:i w:val="0"/>
          <w:sz w:val="17"/>
        </w:rPr>
      </w:r>
    </w:p>
    <w:p>
      <w:pPr>
        <w:spacing w:after="120" w:before="160"/>
      </w:pPr>
      <w:r>
        <w:rPr>
          <w:b/>
          <w:i w:val="0"/>
          <w:sz w:val="22"/>
        </w:rPr>
        <w:t>3. Contagem oficial de logradouros e nomes (bairros Guriri Norte e Guriri Sul)</w:t>
      </w:r>
    </w:p>
    <w:p>
      <w:pPr>
        <w:spacing w:after="120"/>
      </w:pPr>
      <w:r>
        <w:rPr>
          <w:b w:val="0"/>
          <w:i w:val="0"/>
          <w:sz w:val="17"/>
        </w:rPr>
        <w:t>[E30] URL: https://cepsbrasil.com.br/es/sao-mateus/guriri-norte e https://www.cepbusca.com.br/cep/es/sao-mateus/bairro/guriri-norte e https://www.cepconsulta.com.br/espirito-santo/sao-mateus/guriri-norte/ | Fonte: diretórios de CEP | Data: 2026 (consulta) | (via snippet de busca; sites bloqueados — cepsbrasil/achecep/buscaceprua constam da lista de egress bloqueado)</w:t>
      </w:r>
    </w:p>
    <w:p>
      <w:pPr>
        <w:spacing w:after="120"/>
      </w:pPr>
      <w:r>
        <w:rPr>
          <w:b w:val="0"/>
          <w:i w:val="0"/>
          <w:color w:val="595959"/>
          <w:sz w:val="17"/>
        </w:rPr>
        <w:t>[PT] "O bairro Guriri Norte está localizado na cidade de São Mateus - ES... o CEP do bairro Guriri Norte em São Mateus / ES é de 29946-010 até 29946-970."</w:t>
      </w:r>
    </w:p>
    <w:p>
      <w:pPr>
        <w:spacing w:after="120"/>
      </w:pPr>
      <w:r>
        <w:rPr>
          <w:b w:val="0"/>
          <w:i w:val="0"/>
          <w:color w:val="595959"/>
          <w:sz w:val="17"/>
        </w:rPr>
        <w:t>[EN-sint] "Currently, 70 CEPs have been found in the neighborhood, indicating 70 registered addresses." (cepsbrasil)</w:t>
      </w:r>
    </w:p>
    <w:p>
      <w:pPr>
        <w:spacing w:after="120"/>
      </w:pPr>
      <w:r>
        <w:rPr>
          <w:b w:val="0"/>
          <w:i w:val="0"/>
          <w:color w:val="595959"/>
          <w:sz w:val="17"/>
        </w:rPr>
        <w:t>[PT] "No bairro Guriri Norte da cidade de São Mateus ES há 69 endereço(s) cadastrado(s) com CEP." (cepconsulta)</w:t>
      </w:r>
    </w:p>
    <w:p>
      <w:pPr>
        <w:spacing w:after="120"/>
      </w:pPr>
      <w:r>
        <w:rPr>
          <w:b w:val="0"/>
          <w:i w:val="0"/>
          <w:color w:val="595959"/>
          <w:sz w:val="17"/>
        </w:rPr>
        <w:t>[EN-sint] "The neighborhood has a total of 17 logradouros." (cepbusca — base visivelmente incompleta)</w:t>
      </w:r>
    </w:p>
    <w:p>
      <w:pPr>
        <w:spacing w:after="120"/>
      </w:pPr>
      <w:r>
        <w:rPr>
          <w:b w:val="0"/>
          <w:i w:val="0"/>
          <w:sz w:val="17"/>
        </w:rPr>
        <w:t>Leitura: Guriri Norte = faixa de CEP 29946-010 a 29946-970, com ~70 logradouros/CEPs cadastrados (70 no cepsbrasil, 69 no cepconsulta); a contagem "17" do cepbusca é discrepante e provavelmente parcial. Compatível com a premissa de ~70 logradouros.</w:t>
      </w:r>
    </w:p>
    <w:p>
      <w:pPr>
        <w:spacing w:after="120"/>
      </w:pPr>
      <w:r>
        <w:rPr>
          <w:b w:val="0"/>
          <w:i w:val="0"/>
          <w:sz w:val="17"/>
        </w:rPr>
        <w:t>[E31] URL: https://www.ruacep.com.br/es/sao-mateus/guriri-sul/logradouros/ e https://cepsbrasil.com.br/es/sao-mateus/guriri-sul | Fonte: diretórios de CEP | Data: 2026 (consulta) | (via snippet de busca; sites bloqueados)</w:t>
      </w:r>
    </w:p>
    <w:p>
      <w:pPr>
        <w:spacing w:after="120"/>
      </w:pPr>
      <w:r>
        <w:rPr>
          <w:b w:val="0"/>
          <w:i w:val="0"/>
          <w:color w:val="595959"/>
          <w:sz w:val="17"/>
        </w:rPr>
        <w:t>[EN-sint] "The CEP range for the Guriri Sul neighborhood in São Mateus, ES is from 29945-010 to 29945-690. Currently, 74 CEPs have been found in the neighborhood. ... Page 4 of the listing contains 74 CEPs total in Guriri Sul."</w:t>
      </w:r>
    </w:p>
    <w:p>
      <w:pPr>
        <w:spacing w:after="120"/>
      </w:pPr>
      <w:r>
        <w:rPr>
          <w:b w:val="0"/>
          <w:i w:val="0"/>
          <w:sz w:val="17"/>
        </w:rPr>
        <w:t>Leitura: Guriri Sul = faixa de CEP 29945-010 a 29945-690, com 74 logradouros/CEPs cadastrados (listagem do ruacep em 4 páginas) — próximo da premissa de ~76.</w:t>
      </w:r>
    </w:p>
    <w:p>
      <w:pPr>
        <w:spacing w:after="120"/>
      </w:pPr>
      <w:r>
        <w:rPr>
          <w:b w:val="0"/>
          <w:i w:val="0"/>
          <w:sz w:val="17"/>
        </w:rPr>
        <w:t>[E32] URL: páginas individuais do ruacep.com.br / ceps.io / casadosdados / cepzap / guiamapa (Guriri Norte) | Fonte: diretórios de CEP | Data: 2026 | (via snippet de busca; sites bloqueados)</w:t>
      </w:r>
    </w:p>
    <w:p>
      <w:pPr>
        <w:spacing w:after="120"/>
      </w:pPr>
      <w:r>
        <w:rPr>
          <w:b w:val="0"/>
          <w:i w:val="0"/>
          <w:color w:val="595959"/>
          <w:sz w:val="17"/>
        </w:rPr>
        <w:t>[Nomes e CEPs de GURIRI NORTE capturados literalmente nos snippets:] "Rua José de Oliveira Brinco (29946-050); Rua Trinta e Nove (29946-060); Rua Douglas Lima (29946-250); Rua São Gabriel da Palha (29946-500); Rua Linhares (29946-520); Avenida Oceano Atlântico (29946-550); Avenida Décima Segunda (29946-560); Avenida Francisco Pereira de Carvalho (29946-570); Avenida Hélio Faria Santos (29946-580); Avenida Espera Feliz (29946-600); Rua Quarenta; Rua Quarenta e Um; Rua Quarenta e Dois; Rua Quarenta e Três; Rua São Daniel Comboni; Avenida Maria Tezolin Carrafa; Rodovia Othovarino Duarte Santos"</w:t>
      </w:r>
    </w:p>
    <w:p>
      <w:pPr>
        <w:spacing w:after="120"/>
      </w:pPr>
      <w:r>
        <w:rPr>
          <w:b w:val="0"/>
          <w:i w:val="0"/>
          <w:sz w:val="17"/>
        </w:rPr>
        <w:t>Leitura: amostra de 17 logradouros nominados de Guriri Norte via snippets, incluindo ruas numeradas por extenso (39 a 43) e avenidas com nome próprio e ordinal (Décima Segunda).</w:t>
      </w:r>
    </w:p>
    <w:p>
      <w:pPr>
        <w:spacing w:after="120"/>
      </w:pPr>
      <w:r>
        <w:rPr>
          <w:b w:val="0"/>
          <w:i w:val="0"/>
          <w:sz w:val="17"/>
        </w:rPr>
        <w:t>[E33] URL: páginas individuais do ruacep.com.br / procep / buscacep / codigo-postal.org (Guriri Sul) | Fonte: diretórios de CEP | Data: 2026 | (via snippet de busca; sites bloqueados)</w:t>
      </w:r>
    </w:p>
    <w:p>
      <w:pPr>
        <w:spacing w:after="120"/>
      </w:pPr>
      <w:r>
        <w:rPr>
          <w:b w:val="0"/>
          <w:i w:val="0"/>
          <w:color w:val="595959"/>
          <w:sz w:val="17"/>
        </w:rPr>
        <w:t>[Nomes e CEPs de GURIRI SUL capturados literalmente nos snippets:] "Rua Quarenta e Oito (29945-010); Rua Osmar Andrade Ayres (29945-020); Rua Albino Negris (29945-025); Rua Quarenta e Seis (29945-030); Rua Pedro Canário (29945-035); Rua Quarenta e Cinco (29945-040); Avenida Governador Eurico Vieira de Rezende (29945-060); Rua Petrobrás (29945-070); Rua Trinta e Seis (29945-120); Rua Geraldo Pinto (29945-200); Rua José Vieira dos Santos (29945-210); Rua Oldemar Faria Santos (29945-440); Rua Linhares (29945-480); Avenida Oceano Atlântico (29945-510); Avenida José de Oliveira Brinco (29945-530); Rua Mantenópolis (29945-620); Rua Vinte e Seis A (29945-670); Rua Onze A (29945-680)"</w:t>
      </w:r>
    </w:p>
    <w:p>
      <w:pPr>
        <w:spacing w:after="120"/>
      </w:pPr>
      <w:r>
        <w:rPr>
          <w:b w:val="0"/>
          <w:i w:val="0"/>
          <w:color w:val="595959"/>
          <w:sz w:val="17"/>
        </w:rPr>
        <w:t>[EN-sint] "The neighborhood also contains numerous avenues and streets such as Avenida Oceano Índico, Avenida Mar Negro, Avenida Praiana, Rua Conceição da Barra, Rua Boa Esperança, among many others."</w:t>
      </w:r>
    </w:p>
    <w:p>
      <w:pPr>
        <w:spacing w:after="120"/>
      </w:pPr>
      <w:r>
        <w:rPr>
          <w:b w:val="0"/>
          <w:i w:val="0"/>
          <w:sz w:val="17"/>
        </w:rPr>
        <w:t>Leitura: amostra de 23 logradouros nominados de Guriri Sul, com ruas numeradas por extenso (36, 45, 46, 48; variantes "A" como Onze A e Vinte e Seis A), ruas com nomes de municípios capixabas (Linhares, Pedro Canário, Mantenópolis, Nova Venécia, Conceição da Barra, Mucurici, Colatina — estas duas últimas evidenciadas em E13/E27) e avenidas temáticas de mar (Oceano Atlântico, Oceano Índico, Mar Negro, Praiana).</w:t>
      </w:r>
    </w:p>
    <w:p>
      <w:pPr>
        <w:spacing w:after="120"/>
      </w:pPr>
      <w:r>
        <w:rPr>
          <w:b w:val="0"/>
          <w:i w:val="0"/>
          <w:sz w:val="17"/>
        </w:rPr>
        <w:t>[E34] URL: consultas agregadas aos diretórios acima | Fonte: diretórios de CEP | Data: 2026 | (via snippet de busca; sites bloqueados)</w:t>
      </w:r>
    </w:p>
    <w:p>
      <w:pPr>
        <w:spacing w:after="120"/>
      </w:pPr>
      <w:r>
        <w:rPr>
          <w:b w:val="0"/>
          <w:i w:val="0"/>
          <w:color w:val="595959"/>
          <w:sz w:val="17"/>
        </w:rPr>
        <w:t>[EN-sint] "Rua Um and Rua Dois: These specific street names do not appear in the search results. Avenida Primeira: This street name does not appear in the results. Avenida Décima Primeira: This specific avenue does not appear, though Avenida Décima Segunda is listed with CEP 29946-560 in Guriri Norte."</w:t>
      </w:r>
    </w:p>
    <w:p>
      <w:pPr>
        <w:spacing w:after="120"/>
      </w:pPr>
      <w:r>
        <w:rPr>
          <w:b w:val="0"/>
          <w:i w:val="0"/>
          <w:sz w:val="17"/>
        </w:rPr>
        <w:t>Leitura: nos snippets de CEP não apareceram "Rua Um"/"Avenida Primeira"; a numeração observada de ruas vai pelo menos até a Rua Quarenta e Oito e a de avenidas pelo menos até a Décima Segunda (a Av. Décima Primeira é citada no anúncio da Bacia 1, E03).</w:t>
      </w:r>
    </w:p>
    <w:p>
      <w:pPr>
        <w:spacing w:after="120"/>
      </w:pPr>
      <w:r>
        <w:rPr>
          <w:b w:val="0"/>
          <w:i w:val="0"/>
          <w:sz w:val="17"/>
        </w:rPr>
      </w:r>
    </w:p>
    <w:p>
      <w:pPr>
        <w:spacing w:after="120" w:before="160"/>
      </w:pPr>
      <w:r>
        <w:rPr>
          <w:b/>
          <w:i w:val="0"/>
          <w:sz w:val="22"/>
        </w:rPr>
        <w:t>4. Loteamentos em implantação (Guriri e eixo Guriri–sede)</w:t>
      </w:r>
    </w:p>
    <w:p>
      <w:pPr>
        <w:spacing w:after="120"/>
      </w:pPr>
      <w:r>
        <w:rPr>
          <w:b w:val="0"/>
          <w:i w:val="0"/>
          <w:sz w:val="17"/>
        </w:rPr>
        <w:t>[E35] URL: https://saomateus.es.gov.br/uploads/legislacaoitens/hywpenxr60gba8dkqu7j9s13vl2t4f5izcmo.pdf | Fonte: Prefeitura de São Mateus (ato de aprovação de loteamento) | Data: não visível no snippet | (via snippet de busca; site bloqueado)</w:t>
      </w:r>
    </w:p>
    <w:p>
      <w:pPr>
        <w:spacing w:after="120"/>
      </w:pPr>
      <w:r>
        <w:rPr>
          <w:b w:val="0"/>
          <w:i w:val="0"/>
          <w:color w:val="595959"/>
          <w:sz w:val="17"/>
        </w:rPr>
        <w:t>[EN-sint] "The 'Pontal de Guriri II' subdivision is located in São Mateus, bordering Euretes Rieth to the north, Ocean Incorporadora e Urbanismo Ltda to the south, the Municipality of São Mateus to the east, and Avenida Scardini and Rua Abílio Duque de Lima to the west. The subdivision is composed of 92 lots. To guarantee basic infrastructure services, 36 lots were pledged through mortgage, including Quadra 01: Lots 01 to 12, Quadra 02: Lots 06 to 14, and Quadra 03: Lots 01 to 15. ... owned by the company JOAO BOSCO CEVOLANE LTDA and has an area of 44,371.01 m²... registration number 54,633, Book 2."</w:t>
      </w:r>
    </w:p>
    <w:p>
      <w:pPr>
        <w:spacing w:after="120"/>
      </w:pPr>
      <w:r>
        <w:rPr>
          <w:b w:val="0"/>
          <w:i w:val="0"/>
          <w:sz w:val="17"/>
        </w:rPr>
        <w:t>Leitura: o Loteamento Pontal de Guriri II (João Bosco Cevolane Ltda) tem 92 lotes em 44.371,01 m² (matrícula 54.633, L.2), com 36 lotes hipotecados ao Município como garantia da execução da infraestrutura básica — mecanismo que indica infraestrutura (inclusive vias) a cargo do loteador; confrontações: Av. Scardini e Rua Abílio Duque de Lima (oeste).</w:t>
      </w:r>
    </w:p>
    <w:p>
      <w:pPr>
        <w:spacing w:after="120"/>
      </w:pPr>
      <w:r>
        <w:rPr>
          <w:b w:val="0"/>
          <w:i w:val="0"/>
          <w:sz w:val="17"/>
        </w:rPr>
        <w:t>[E36] URL: https://www.somaurbanismo.com.br/soma-vibe/ e https://redenoticia.es/soma-urbanismo-anuncia-o-soma-vibe-novo-conceito-de-moradia-e-lazer-em-guriri/ e https://rafaelsilvestrecorretor.com.br/loteamento-soma-vibe-residencial/ | Fonte: Soma Urbanismo / Rede Notícia ES | Data: 2025/2026 (entrega prevista 2029) | (via snippet de busca; sites bloqueados)</w:t>
      </w:r>
    </w:p>
    <w:p>
      <w:pPr>
        <w:spacing w:after="120"/>
      </w:pPr>
      <w:r>
        <w:rPr>
          <w:b w:val="0"/>
          <w:i w:val="0"/>
          <w:color w:val="595959"/>
          <w:sz w:val="17"/>
        </w:rPr>
        <w:t>[EN-sint] "Residencial Soma Vibe is an open subdivision located in Guriri, São Mateus, positioned two minutes from the beach and Rio Mariricu... The Soma Vibe will offer a total of 406 lots: 386 residential (with a standard of 250 m²) and 20 mixed-use commercial (with a standard of 485 m²). The open subdivision has complete infrastructure in north Guriri, featuring paved streets, drainage, water network, electricity, sewage, public lighting... The project occupies a total area of more than 158 thousand m²... with delivery expected in 2029."</w:t>
      </w:r>
    </w:p>
    <w:p>
      <w:pPr>
        <w:spacing w:after="120"/>
      </w:pPr>
      <w:r>
        <w:rPr>
          <w:b w:val="0"/>
          <w:i w:val="0"/>
          <w:sz w:val="17"/>
        </w:rPr>
        <w:t>Leitura: Soma Vibe (Guriri, lado norte): 406 lotes (386 residenciais de ~250 m² + 20 comerciais de ~485 m²) em &gt;158 mil m², com ruas internas PAVIMENTADAS pelo loteador (infraestrutura completa: drenagem, água, esgoto, iluminação); entrega prevista para 2029. A Soma Urbanismo também anunciou o "Prestige Guriri", de alto padrão (https://tconline.com.br/prestige-guriri-soma-urbanismo-lancara-empreendimento-de-alto-padrao-em-sao-mateus/).</w:t>
      </w:r>
    </w:p>
    <w:p>
      <w:pPr>
        <w:spacing w:after="120"/>
      </w:pPr>
      <w:r>
        <w:rPr>
          <w:b w:val="0"/>
          <w:i w:val="0"/>
          <w:sz w:val="17"/>
        </w:rPr>
        <w:t>[E37] URL: https://rafaelsilvestrecorretor.weebly.com/home/lotes-a-venda-na-quadra-01-do-loteamento-mar-aberto-guriri-sul | Fonte: corretor local (oferta) | Data: s/d | (via snippet de busca; site bloqueado)</w:t>
      </w:r>
    </w:p>
    <w:p>
      <w:pPr>
        <w:spacing w:after="120"/>
      </w:pPr>
      <w:r>
        <w:rPr>
          <w:b w:val="0"/>
          <w:i w:val="0"/>
          <w:color w:val="595959"/>
          <w:sz w:val="17"/>
        </w:rPr>
        <w:t>[EN-sint] "The lots are located in the Mar Aberto Loteamento in Guriri's south side, in block 01, approximately 300 meters from the beach. The development has complete infrastructure including water and electricity networks, daily bus service, municipal garbage collection, internet, and three exits to São Mateus. The lots (05 and 06) in block 01 measure 12 meters in width by 25 meters in depth, totaling 300 square meters... Lot 06 faces east on Rua Nova Venécia, while lot 05 faces west on Rua São Gabriel da Palha."</w:t>
      </w:r>
    </w:p>
    <w:p>
      <w:pPr>
        <w:spacing w:after="120"/>
      </w:pPr>
      <w:r>
        <w:rPr>
          <w:b w:val="0"/>
          <w:i w:val="0"/>
          <w:sz w:val="17"/>
        </w:rPr>
        <w:t>Leitura: Loteamento Mar Aberto (lado sul de Guriri, ~300 m da praia): lotes de 300 m² (12x25) na quadra 01, entre a Rua Nova Venécia e a Rua São Gabriel da Palha; a "infraestrutura completa" anunciada NÃO menciona pavimentação — indício de ruas internas ainda sem calçamento.</w:t>
      </w:r>
    </w:p>
    <w:p>
      <w:pPr>
        <w:spacing w:after="120"/>
      </w:pPr>
      <w:r>
        <w:rPr>
          <w:b w:val="0"/>
          <w:i w:val="0"/>
          <w:sz w:val="17"/>
        </w:rPr>
        <w:t>[E38] URL: https://veraovermelho.com.br/ e http://wikimapia.org/15604780/pt/Loteamento-Ver%C3%A3o-Vermelho-Guriri | Fonte: site do loteamento | Data: s/d | (via snippet de busca; site bloqueado)</w:t>
      </w:r>
    </w:p>
    <w:p>
      <w:pPr>
        <w:spacing w:after="120"/>
      </w:pPr>
      <w:r>
        <w:rPr>
          <w:b w:val="0"/>
          <w:i w:val="0"/>
          <w:color w:val="595959"/>
          <w:sz w:val="17"/>
        </w:rPr>
        <w:t>[EN-sint] "It was approved by the Municipal Prefect of São Mateus/ES through Decree No. 833/02 on 11/01/2000 and registered at matricula 16.265 of the real estate registry office of the comarca of São Mateus/ES. The Verão Vermelho offers commercial and residential lots starting from 300 m², with an open loteamento ready for construction... The loteamento is still undeveloped but promises significant growth in the coming years. Lots are being sold in the southern Guriri region, with prices ranging from R$30,000 to R$120,000."</w:t>
      </w:r>
    </w:p>
    <w:p>
      <w:pPr>
        <w:spacing w:after="120"/>
      </w:pPr>
      <w:r>
        <w:rPr>
          <w:b w:val="0"/>
          <w:i w:val="0"/>
          <w:sz w:val="17"/>
        </w:rPr>
        <w:t>Leitura: Loteamento Verão Vermelho (região sul de Guriri): aprovado pelo Decreto nº 833/02 (data citada no site: 11/01/2000 — datas do próprio site são inconsistentes entre si), matrícula 16.265; lotes de 300 m²+, ainda pouco urbanizado.</w:t>
      </w:r>
    </w:p>
    <w:p>
      <w:pPr>
        <w:spacing w:after="120"/>
      </w:pPr>
      <w:r>
        <w:rPr>
          <w:b w:val="0"/>
          <w:i w:val="0"/>
          <w:sz w:val="17"/>
        </w:rPr>
        <w:t>[E39] URL: https://portalguriri.com.br/comprar-lote-no-bosque/ e https://www.agazeta.com.br/colunas/metro-quadrado/praia-da-costa-mata-da-praia-e-guriri-registram-lancamentos-imobiliarios-em-maio-0526 e https://www.agazeta.com.br/colunas/metro-quadrado/sao-mateus-vai-receber-primeiro-loteamento-rural-com-areas-de-20-mil-m-0324 | Fonte: Portal Guriri / A Gazeta (coluna Metro Quadrado) | Data: 2024–2026 | (via snippet de busca; sites bloqueados)</w:t>
      </w:r>
    </w:p>
    <w:p>
      <w:pPr>
        <w:spacing w:after="120"/>
      </w:pPr>
      <w:r>
        <w:rPr>
          <w:b w:val="0"/>
          <w:i w:val="0"/>
          <w:color w:val="595959"/>
          <w:sz w:val="17"/>
        </w:rPr>
        <w:t>[EN-sint] "The Bosque area features flat streets that don't flood and includes Dutch-style paving, potable water, sewer network, and rainwater drainage." (Residencial Bom Jesus / Bosque, no eixo Guriri–sede)</w:t>
      </w:r>
    </w:p>
    <w:p>
      <w:pPr>
        <w:spacing w:after="120"/>
      </w:pPr>
      <w:r>
        <w:rPr>
          <w:b w:val="0"/>
          <w:i w:val="0"/>
          <w:color w:val="595959"/>
          <w:sz w:val="17"/>
        </w:rPr>
        <w:t>[Título literal] "Praia da Costa, Mata da Praia e Guriri registram lançamentos imobiliários em maio" (A Gazeta, maio/2026)</w:t>
      </w:r>
    </w:p>
    <w:p>
      <w:pPr>
        <w:spacing w:after="120"/>
      </w:pPr>
      <w:r>
        <w:rPr>
          <w:b w:val="0"/>
          <w:i w:val="0"/>
          <w:sz w:val="17"/>
        </w:rPr>
        <w:t>Leitura: no eixo Guriri–sede há o Residencial Bom Jesus (bairro Bosque) vendendo lotes com ruas já pavimentadas ("pavimentação tipo holandesa" conforme snippet), e A Gazeta registra Guriri entre os polos de lançamentos imobiliários recentes do ES.</w:t>
      </w:r>
    </w:p>
    <w:p>
      <w:pPr>
        <w:spacing w:after="120"/>
      </w:pPr>
      <w:r>
        <w:rPr>
          <w:b w:val="0"/>
          <w:i w:val="0"/>
          <w:sz w:val="17"/>
        </w:rPr>
      </w:r>
    </w:p>
    <w:p>
      <w:pPr>
        <w:spacing w:after="120" w:before="160"/>
      </w:pPr>
      <w:r>
        <w:rPr>
          <w:b/>
          <w:i w:val="0"/>
          <w:sz w:val="22"/>
        </w:rPr>
        <w:t>5. Contexto físico e viário</w:t>
      </w:r>
    </w:p>
    <w:p>
      <w:pPr>
        <w:spacing w:after="120"/>
      </w:pPr>
      <w:r>
        <w:rPr>
          <w:b w:val="0"/>
          <w:i w:val="0"/>
          <w:sz w:val="17"/>
        </w:rPr>
        <w:t>[E40] URL: https://esbrasil.com.br/ilha-de-guriri-e-paraiso-natural-em-sao-mateus/ e https://www.agazeta.com.br/es/norte/os-encantos-da-ilha-de-guriri-no-norte-do-espirito-santo-0120 e https://www.saomateus.es.gov.br/sao-mateus/hidrografia | Fonte: ES Brasil / A Gazeta / Prefeitura | Data: diversas | (via snippet de busca; sites bloqueados)</w:t>
      </w:r>
    </w:p>
    <w:p>
      <w:pPr>
        <w:spacing w:after="120"/>
      </w:pPr>
      <w:r>
        <w:rPr>
          <w:b w:val="0"/>
          <w:i w:val="0"/>
          <w:color w:val="595959"/>
          <w:sz w:val="17"/>
        </w:rPr>
        <w:t>[PT] "A Ilha de Guriri tem 42 km de extensão de praia, embora algumas fontes mencionem 44 km de extensão. A ilha possui 102 quilômetros quadrados. ... A parte norte da ilha pertence ao município de Conceição da Barra, enquanto a parte sul está em São Mateus. Há a praia de Barra Nova, localizada no extremo sul da ilha, onde o Rio Mariricu encontra o mar. ... É a maior ilha do Estado do Espírito Santo."</w:t>
      </w:r>
    </w:p>
    <w:p>
      <w:pPr>
        <w:spacing w:after="120"/>
      </w:pPr>
      <w:r>
        <w:rPr>
          <w:b w:val="0"/>
          <w:i w:val="0"/>
          <w:sz w:val="17"/>
        </w:rPr>
        <w:t>Leitura: a ilha de Guriri tem ~42 km de extensão (fontes citam até 44 km) e ~102 km², sendo a maior ilha do ES; o balneário/bairro urbano de São Mateus ocupa apenas parte dela — o restante são praias como Barra Nova (sul, foz do Mariricu) e, ao norte, Conceição da Barra.</w:t>
      </w:r>
    </w:p>
    <w:p>
      <w:pPr>
        <w:spacing w:after="120"/>
      </w:pPr>
      <w:r>
        <w:rPr>
          <w:b w:val="0"/>
          <w:i w:val="0"/>
          <w:sz w:val="17"/>
        </w:rPr>
        <w:t>[E41] Consolidação toponímica a partir de E32/E33/E03 | Fonte: diretórios de CEP + release Bacia 1 | Data: 2026</w:t>
      </w:r>
    </w:p>
    <w:p>
      <w:pPr>
        <w:spacing w:after="120"/>
      </w:pPr>
      <w:r>
        <w:rPr>
          <w:b w:val="0"/>
          <w:i w:val="0"/>
          <w:color w:val="595959"/>
          <w:sz w:val="17"/>
        </w:rPr>
        <w:t>[Registro literal dos nomes coletados:] "Avenida Quinta; Avenida Nona; Avenida Décima Primeira; Avenida Décima Segunda; Rua XXI; Rua Vinte e Seis A; Rua Trinta e Seis; Rua Trinta e Nove; Rua Quarenta; Rua Quarenta e Um; Rua Quarenta e Dois; Rua Quarenta e Três; Rua Quarenta e Cinco; Rua Quarenta e Seis; Rua Quarenta e Oito; Rua Onze A"</w:t>
      </w:r>
    </w:p>
    <w:p>
      <w:pPr>
        <w:spacing w:after="120"/>
      </w:pPr>
      <w:r>
        <w:rPr>
          <w:b w:val="0"/>
          <w:i w:val="0"/>
          <w:sz w:val="17"/>
        </w:rPr>
        <w:t>Leitura: a malha tem avenidas ordinais comprovadas pelo menos até a "Décima Segunda" (12ª) e ruas numeradas comprovadas pelo menos até a "Quarenta e Oito" (48) com variantes "A" — a numeração real ultrapassa as premissas "até a 11ª avenida" e "até a 31ª rua"; a numeração das ruas parece crescer do norte (menores no Norte? não estabelecido) e reiniciar/continuar entre os dois bairros (Rua 36 e 45-48 no Sul; 39-43 no Norte), sem fonte que explique o sistema.</w:t>
      </w:r>
    </w:p>
    <w:p>
      <w:pPr>
        <w:spacing w:after="120"/>
      </w:pPr>
      <w:r>
        <w:rPr>
          <w:b w:val="0"/>
          <w:i w:val="0"/>
          <w:sz w:val="17"/>
        </w:rPr>
        <w:t>[E42] URL: https://der.es.gov.br/Not%C3%ADcia/sao-mateus-governo-do-estado-entrega-obras-e-anuncia-novos-investimentos-para-o-municipio (família nov/2025) | Fonte: DER-ES / Governo ES | Data: nov/2025 | (via snippet de busca; site bloqueado)</w:t>
      </w:r>
    </w:p>
    <w:p>
      <w:pPr>
        <w:spacing w:after="120"/>
      </w:pPr>
      <w:r>
        <w:rPr>
          <w:b w:val="0"/>
          <w:i w:val="0"/>
          <w:color w:val="595959"/>
          <w:sz w:val="17"/>
        </w:rPr>
        <w:t>[EN-sint] "Guriri Bypass: The project includes the development of basic and executive engineering projects and the execution of the ES-318 highway, connecting the BR-101 to the intersections of the ES-315 and ES-010 highways (Guriri Bypass), with a length of 24.26 kilometers and investment of R$ 164 million."</w:t>
      </w:r>
    </w:p>
    <w:p>
      <w:pPr>
        <w:spacing w:after="120"/>
      </w:pPr>
      <w:r>
        <w:rPr>
          <w:b w:val="0"/>
          <w:i w:val="0"/>
          <w:sz w:val="17"/>
        </w:rPr>
        <w:t>Leitura: além das obras internas, está contratado o Contorno de Guriri (ES-318): 24,26 km ligando a BR-101 aos entroncamentos da ES-315 e ES-010, por R$ 164 milhões — novo acesso rodoviário ao balneário.</w:t>
      </w:r>
    </w:p>
    <w:p>
      <w:pPr>
        <w:spacing w:after="120"/>
      </w:pPr>
      <w:r>
        <w:rPr>
          <w:b w:val="0"/>
          <w:i w:val="0"/>
          <w:sz w:val="17"/>
        </w:rPr>
        <w:t>[E43] Contexto de enchentes | URL: https://www.agazeta.com.br/es/cotidiano/temporal-em-sao-mateus-faz-guriri-amanhecer-com-avenidas-alagadas-1223 | Fonte: A Gazeta | Data: dez/2023 (pelo sufixo -1223) | (via snippet de busca; site bloqueado)</w:t>
      </w:r>
    </w:p>
    <w:p>
      <w:pPr>
        <w:spacing w:after="120"/>
      </w:pPr>
      <w:r>
        <w:rPr>
          <w:b w:val="0"/>
          <w:i w:val="0"/>
          <w:color w:val="595959"/>
          <w:sz w:val="17"/>
        </w:rPr>
        <w:t>[Título literal] "Temporal em São Mateus faz Guriri amanhecer com avenidas alagadas"</w:t>
      </w:r>
    </w:p>
    <w:p>
      <w:pPr>
        <w:spacing w:after="120"/>
      </w:pPr>
      <w:r>
        <w:rPr>
          <w:b w:val="0"/>
          <w:i w:val="0"/>
          <w:sz w:val="17"/>
        </w:rPr>
        <w:t>Leitura: registro jornalístico dos alagamentos recorrentes que motivam o programa de macrodrenagem (avenidas alagadas após temporal, dez/2023).</w:t>
      </w:r>
    </w:p>
    <w:p>
      <w:pPr>
        <w:spacing w:after="120"/>
      </w:pPr>
      <w:r>
        <w:rPr>
          <w:b w:val="0"/>
          <w:i w:val="0"/>
          <w:sz w:val="17"/>
        </w:rPr>
      </w:r>
    </w:p>
    <w:p>
      <w:pPr>
        <w:spacing w:after="120" w:before="160"/>
      </w:pPr>
      <w:r>
        <w:rPr>
          <w:b/>
          <w:i w:val="0"/>
          <w:sz w:val="22"/>
        </w:rPr>
        <w:t>6. Lacunas (o que NÃO foi possível estabelecer e por quê)</w:t>
      </w:r>
    </w:p>
    <w:p>
      <w:pPr>
        <w:spacing w:after="120"/>
      </w:pPr>
      <w:r>
        <w:rPr>
          <w:b w:val="0"/>
          <w:i w:val="0"/>
          <w:sz w:val="17"/>
        </w:rPr>
        <w:t>1. Fetch bloqueado em 100% dos domínios tentados — der.es.gov.br, es.gov.br, sedurb.es.gov.br, saomateus.es.gov.br, tconline.com.br, hojees.com.br, emdiaes.com.br, sitebarra.com.br e ruacep.com.br retornaram EGRESS_BLOCKED, ao contrário do esperado. Toda a evidência é de snippets de busca; os trechos [EN-sint] são sínteses da camada de busca, não o texto original das matérias. Recomenda-se revalidar citações textuais quando o acesso for restabelecido.</w:t>
      </w:r>
    </w:p>
    <w:p>
      <w:pPr>
        <w:spacing w:after="120"/>
      </w:pPr>
      <w:r>
        <w:rPr>
          <w:b w:val="0"/>
          <w:i w:val="0"/>
          <w:sz w:val="17"/>
        </w:rPr>
        <w:t>2. Lista completa de ruas da Bacia 1: o anúncio oficial cita apenas 4 avenidas (Décima Primeira, Nona, Esbertalina Barbosa Damiani, Hélio Faria Santos) "além de ruas estratégicas" (E03). O anexo do edital (com a relação de vias e a poligonal da bacia) não é alcançável por snippet; o número do edital e a data exata de publicação no DIO-ES não apareceram.</w:t>
      </w:r>
    </w:p>
    <w:p>
      <w:pPr>
        <w:spacing w:after="120"/>
      </w:pPr>
      <w:r>
        <w:rPr>
          <w:b w:val="0"/>
          <w:i w:val="0"/>
          <w:sz w:val="17"/>
        </w:rPr>
        <w:t>3. Delimitação cartográfica precisa das bacias 1, 2 e 3 (ex.: "da Avenida X até a Rua Y"): nenhuma matéria pública traz a poligonal; só se estabelece Bacia 2 = lado Sul e Bacia 1 = lado Norte.</w:t>
      </w:r>
    </w:p>
    <w:p>
      <w:pPr>
        <w:spacing w:after="120"/>
      </w:pPr>
      <w:r>
        <w:rPr>
          <w:b w:val="0"/>
          <w:i w:val="0"/>
          <w:sz w:val="17"/>
        </w:rPr>
        <w:t>4. Bacia 3: sem escopo, área, valor estimado ou cronograma publicados; único registro é "não tem previsão para começar" (E18).</w:t>
      </w:r>
    </w:p>
    <w:p>
      <w:pPr>
        <w:spacing w:after="120"/>
      </w:pPr>
      <w:r>
        <w:rPr>
          <w:b w:val="0"/>
          <w:i w:val="0"/>
          <w:sz w:val="17"/>
        </w:rPr>
        <w:t>5. m² de pavimentação da Bacia 2: não publicado — as fontes citam km de galerias (10,6 km; ou 8,2 km de extensão em E16) e "pavimentação sobre a macrodrenagem + calçada cidadã", sem metragem quadrada.</w:t>
      </w:r>
    </w:p>
    <w:p>
      <w:pPr>
        <w:spacing w:after="120"/>
      </w:pPr>
      <w:r>
        <w:rPr>
          <w:b w:val="0"/>
          <w:i w:val="0"/>
          <w:sz w:val="17"/>
        </w:rPr>
        <w:t>6. Percentual de avanço mais atual (meados de 2026): o último número público é "&gt;25%" (E07); não foi encontrado valor atualizado pós-março/2026.</w:t>
      </w:r>
    </w:p>
    <w:p>
      <w:pPr>
        <w:spacing w:after="120"/>
      </w:pPr>
      <w:r>
        <w:rPr>
          <w:b w:val="0"/>
          <w:i w:val="0"/>
          <w:sz w:val="17"/>
        </w:rPr>
        <w:t>7. Histórico rua a rua do calçamento municipal (~2015–2021): o site da Prefeitura está bloqueado e as matérias antigas não aparecem em snippets; só se recuperaram exemplos pontuais (E20, E21, E27). Não foi possível montar o inventário completo do "já calçado".</w:t>
      </w:r>
    </w:p>
    <w:p>
      <w:pPr>
        <w:spacing w:after="120"/>
      </w:pPr>
      <w:r>
        <w:rPr>
          <w:b w:val="0"/>
          <w:i w:val="0"/>
          <w:sz w:val="17"/>
        </w:rPr>
        <w:t>8. Contagem oficial dos Correios: as bases diretas (Correios/IBGE) estão bloqueadas; as contagens vêm de diretórios privados e divergem (Guriri Norte: 70 vs 69 vs "17"; Guriri Sul: 74 vs premissa de ~76). Dos ~144-150 logradouros, só ~45 nomes foram capturados em snippets.</w:t>
      </w:r>
    </w:p>
    <w:p>
      <w:pPr>
        <w:spacing w:after="120"/>
      </w:pPr>
      <w:r>
        <w:rPr>
          <w:b w:val="0"/>
          <w:i w:val="0"/>
          <w:sz w:val="17"/>
        </w:rPr>
        <w:t>9. "Portal do Ribeirão" em São Mateus: não confirmado — as buscas só retornaram loteamento homônimo em Florianópolis/SC; se existir no eixo Guriri–sede, não tem presença indexada. (Há bairro "Morada do Ribeirão" em São Mateus, citado em E20.)</w:t>
      </w:r>
    </w:p>
    <w:p>
      <w:pPr>
        <w:spacing w:after="120"/>
      </w:pPr>
      <w:r>
        <w:rPr>
          <w:b w:val="0"/>
          <w:i w:val="0"/>
          <w:sz w:val="17"/>
        </w:rPr>
        <w:t>10. Datas exatas de algumas matérias: vários snippets não trazem ano (ex.: inauguração da orla norte "quinta-feira (4)" em E21; matéria Sedurb de E20). Datas anotadas como aproximadas foram inferidas de contexto e marcadas como tal.</w:t>
      </w:r>
    </w:p>
    <w:p>
      <w:pPr>
        <w:spacing w:after="120"/>
      </w:pPr>
      <w:r>
        <w:rPr>
          <w:b w:val="0"/>
          <w:i w:val="0"/>
          <w:sz w:val="17"/>
        </w:rPr>
        <w:t>11. Extensão viária total do bairro (km de vias urbanas de Guriri): nenhum número oficial encontrado em nenhuma fonte.</w:t>
      </w:r>
    </w:p>
    <w:p>
      <w:pPr>
        <w:spacing w:after="120"/>
      </w:pPr>
      <w:r>
        <w:rPr>
          <w:b w:val="0"/>
          <w:i w:val="0"/>
          <w:sz w:val="17"/>
        </w:rPr>
        <w:t>12. Asfalto vs. blocos no eixo comercial (Av. Esbertalina Barbosa Damiani): as fontes confirmam obras de drenagem/pavimentação nela (E12) e revitalização da via principal (E26), mas não especificam o revestimento atual de cada trecho.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