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pontos, verificados um a um em campo virtual, classificando a superfície da pista (asfalto e bloquete = pavimentada; saibro e areia = não) — 496 pontos auditáveis via a via nas planilhas do levantamento (462 no Google Street View e 34 em imagem de satélite), um a cada 390 m de via, contra os 637 declarados no resumo da fonte; adota-se aqui o número menor, o auditável: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1.135.968 m² à largura média de projeto de 8 m — mais 566.492 m² de calçada em vias já abertas. Pela banda composicional oficial (DER-ES/SINAPI; 0,661 a 0,861 t/m² na pista e 0,126 a 0,175 t/m² na calçada — memória de cálculo anexa), isso representa 822 a 1.077 mil t de agregados, das quais 705 a 893 mil t são produtos de britagem.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430 a 542 mil t de produtos de britagem. Três leituras: as Bacias 1 e 2 cobrem cerca de 250 mil m², ou 22,0% do que falta, restando 885.968 m² de pista sem contrato (519 a 654 mil t de britagem; 558 a 708 se somada a calçada desses trechos, que nenhum edital publicado menciona — adota-se a leitura de pista, a menor); ao ritmo contratual do próprio Estado — 125 mil m² em 1.620 dias, ou 28,4 mil m²/ano —, concluir só a pista de Guriri levaria 40 anos com uma bacia por vez e 20 anos com duas simultâneas, contra os 14 anos do financiamento; e o total equivale a 3,0 a 3,8 anos de produção integral da CIPREM no platô. As projeções do empreendimento seguem incorporando apenas 78 a 117 mil t desse potencial — cerca de um décimo do inventário completo (9% a 17%) e 14% a 27% da base estritamente medida —, escoados nos anos 5 a 10 (~13 a 19 mil t/ano).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medido e auditado de Guriri — 1.135.968 m² de pista e 566.492 m² de calçada por pavimentar, ou 822–1.077 mil t de agregados, dos quais 705–893 mil t de produtos de britagem —, do qual as projeções incorporam apenas 78–117 mil t, cerca de um décimo;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