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de Guriri</w:t>
      </w:r>
      <w:r>
        <w:rPr>
          <w:color w:val="C00000"/>
        </w:rPr>
        <w:t>, levantada nos projetos dos 21 loteamentos que formam o balneário e auditada em 496 pontos verificados um a um em campo virtual (462 em Street View e 34 em satélite) — 193,4 km em 437 vias, das quais apenas 26,6%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1.135.968 m² de pista e 566.492 m² de calçada a executar: 822 a 1.077 mil t de agregados, das quais 705 a 893 mil t de produtos de britagem (banda composicional das tabelas oficiais DER-ES/SINAPI — memória anexa). As Bacias 1 e 2 cobrem apenas 22,0% da pista faltante; ao ritmo contratual do próprio Estado, concluir a pavimentação de Guriri levaria de 20 a 40 anos — contra os 14 anos do financiamento</w:t>
      </w:r>
      <w:r>
        <w:rPr>
          <w:color w:val="000000"/>
        </w:rPr>
        <w:t xml:space="preserve"> —, das quais as projeções contabilizam, conservadoramente, apenas </w:t>
      </w:r>
      <w:r>
        <w:rPr>
          <w:color w:val="C00000"/>
        </w:rPr>
        <w:t>78 a 117 mil t de produtos de britagem, cerca de um décimo do potencial medido.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Guriri: “1 milhão de m² de vias e mais de 1 milhão de toneladas”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Substituído pelo levantamento final de 19/08/2026: 437 vias medidas nos 21 loteamentos, 193,4 km, situação de pavimentação auditada em 496 pontos verificados um a um (462 em Street View e 34 em satélite; 637 declarados no resumo da fonte, adotado o menor). Faltam 1.135.968 m² de pista e 566.492 m² de calçada — 822 a 1.077 mil t de agregados, das quais 705 a 893 mil t de produtos de britagem.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original não tinha lastro, e as duas versões seguintes o substituíram por estimativas — primeiro uma grade de 350 a 400 mil m², depois totais preliminares do próprio levantamento. Agora há medição fechada e auditada, e ela é desfavorável em 8% frente aos preliminares: o que falta pavimentar caiu de 154.506 para 141.996 m. As toneladas contabilizadas nas projeções permanecem em 78–117 mil t de produtos de britagem — cerca de um décimo do potencial medido (705–893 mil t), inalteradas em todas as rodadas.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