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aproximadamente 35 km da sede de São Mateus.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Corredor de Nestor Gomes (km 13–41) — proximidade imediata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10 km × MCL 45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35 km × MCL 62 km — concorrente de volume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+24,6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mesma praça, outro rival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35 km × Usibrita 40 km — concorrente de preço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+4,5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69 km × Mattar 68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−0,9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(Rod. Willes Jantorno) × MCL 26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trecho não pavimentado na rota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32 km × MCL local 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−24,6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 km × Usibrita local 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−29,1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95 km × Mattar 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−31,9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87 km × Mattar 50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−33,7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44 km × Mattar local 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−35,5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própria regra de frete escrita na tabela de preços do grupo ("Carreta: 0,91 × volume (T) × KM"), conservadora frente aos R$ 0,78/t·km do SICRO/DNIT. Populações: IBGE, estimativas 2025 (Censo 2022 para Conceição da Barra, Montanha e Vila Pavão). Distâncias rodoviárias apuradas em sites de rotas (ago/2026), todas submetidas ao teste de sanidade rodovia ≥ linha reta — teste que corrigiu a distância de Rio Bananal da versão anterior (de 73 para ~100 km). As distâncias desta versão partem da coordenada do site registrada no PAE (UTM 24K 376.291/7.935.121; GPS -18.67144, -40.17303), que substituiu a decomposição pelo marco km 35; com essa referência, a rota a Boa Esperança pela Rod. Willes Jantorno foi medida em 27,9 km (roteirização do cliente, ago/2026; trecho parcialmente não pavimentado), corrigindo os 32–36 km estimados anteriormente. Recomenda-se completar o refino por roteirizador nas demais praças na versão de protocolo. Fora do raio econômico e por isso ausentes da tabela: São Gabriel da Palha (34,3 mil hab, 75–90 km) e Vila Pavão (8,9 mil hab, 62 km), esta última polo de granito ornamental.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subestima a posição da CIPREM. O concorrente de preço em São Mateus é a Usibrita, a 40 km contra 35 km da CIPREM: margem de apenas R$ 4,5/t, o que a torna referência de preço na praça. Mas ela vendeu cerca de 5 mil t em 2025 (item 6.1) — menos de um quinto da demanda do próprio município de Jaguaré, onde está instalada. Não tem escala para disputar volume. Quem limita volume é a MCL, a 62 km, e contra ela a vantagem da CIPREM é de R$ 24,6/t — cerca de um quarto do preço posto na obra. A conclusão prática: a Usibrita ancora o preço, a MCL define o volume disputável, e a CIPREM entra com vantagem estrutural sobre a segunda sem precisar romper o preço da primeira.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~29–32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~62 km (unidade) / ~67 km (sede NV)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~44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~70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~62 km da sede de São Mateus (unidade Pedra do Elefante; a sede de Nova Venécia está a ~67 km), a Mattar a ~70 km (Pinheiros) e a Sangali a ~100 km (Rio Bananal); a CIPREM produziria a ~35 km — e a Usibrita, único produtor do entorno imediato, a ~40 km,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R$ 29,1/t, e a CIPREM só entra ali por CIF e serviço, contra um incumbente sem capacidade instalada para atender a demanda local.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— Grupo Colombi, unidade Pedra do Elefante / ES-137 km 131 (~62 km da sede; sede de Nova Venécia a ~67 km)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— Grupo Colombi (mesmo ramo da MCL), Jaguaré (~40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o da Columbia, modesto, a ~62 km; e o mais próximo (Usibrita, ~40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Sudeste × ~41,6% de participação da brita no mix ≈ 1,7). O índice é aplicado diretamente à população de 2025 do mercado-base conservador de dois municípios (São Mateus 134.423 e Conceição da Barra 28.923 — IBGE, estimativas 2025; total 163.346 hab): 163.346 × 1,669 ≈ 272,6 mil, ou seja, demanda corrente de cerca de 273 mil t/ano. Consumo e população referem-se ao mesmo ano — não há defasagem entre numerador e denominador. Piso de robustez: aplicando metade do índice a Conceição da Barra, município de perfil rural-litorâneo, a estimativa recua a ~249 mil t/ano (134.423 × 1,669 + 28.923 × 0,835) — piso que ainda supera o platô do projeto; só a sede responde por ~224 mil t/ano. As praças disputadas de Jaguaré (31.551 hab; produtor instalado) e Boa Esperança (14.054 hab; órbita comercial de Nova Venécia), mantidas fora da linha de base por conservadorismo, adicionariam 38–76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As praças disputadas — Jaguaré e Boa Esperança; 45.605 hab; 38–76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dois municípios mede o mercado que a CIPREM domina por frete, não o mercado que ela pode atender. Somando as camadas alcançáveis — mercado-base (249–273 mil t/ano, do piso prudente ao índice pleno), praças disputadas de Jaguaré e Boa Esperança (38–76 mil t/ano), praças-sede de concorrente acessíveis por CIF, Nova Venécia e Pinheiros (64–129 mil t/ano), e obras públicas catalogadas (70–100 mil t/ano) — o mercado endereçável situa-se entre 421 e 577 mil t/ano. Pedro Canário e a franja norte permanecem fora: há vazio de oferta local, mas a desvantagem de frete de R$ 32 a 34/t não é compensável, e o estudo lhes atribui peso zero. É contra a faixa de 421–577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 xml:space="preserve">São Mateus vive um ciclo atípico de investimentos (mais de R$ 1 bilhão em obras estaduais em andamento). Para cada obra foram levantados, quando públicos, a empresa executora (cliente-alvo direto) e a quantidade contratada, com o consumo de agregado estimado por fatores de engenharia da ANEPAC (1 km de rodovia ≈ 9.800 t; 1.000 m² de edificação ≈ 1.360 t; pavimentação urbana ≈ 1,4 t/m²).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 nem em Conceição da Barra; a operação mais próxima é a Usibrita, ~5 mil t/ano, em Jaguaré (item 6.1). A demanda só das obras públicas catalogadas é da ordem de 70 a 100 mil t/ano, e a demanda corrente do mercado-base é de cerca de 273 mil t/ano (piso de robustez: ~249 mil). A região consome muito mais brita do que produz por perto, importando-a de 60 a 140 km com frete caro (MCL ~62 km; Mattar ~70 km; Sangali ~100 km; Linhares–Aracruz 85–142 km). A questão de fundo — se as obras dividem um mercado pequeno ou o ampliam — se responde pelos números: o mercado cresce, e a CIPREM, a ~35 km da sede, entra com a maior vantagem de frete. No platô, a produção de 237,5 mil t/ano equivale a 41–56% do mercado endereçável de 421–577 mil t/ano (item 6.2). Pela via de baixo para cima, a captura ponderada pelos pesos de penetração do item 8 resulta em 207 a 245 mil t/ano, faixa em que o platô se posiciona a 81%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273 mil t/ano; piso prudente de 249 mil), o mercado endereçável de 421–577 mil t/ano, o ciclo extraordinário de obras públicas e o crescimento populacional de 13,5% na década, projeta-se demanda regional sustentada por agregados ao longo de todo o horizonte do financiamento.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207 a 245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t xml:space="preserve">Guriri é um balneário em malha planejada (avenidas e ruas numeradas, com avenidas até a 11ª e ruas até a 31ª), com cerca de 8 km de extensão norte-sul, historicamente com vias precárias e sujeitas a alagamento. O plano-mestre de macrodrenagem e pavimentação, dividido em três bacias, equivale, na prática, à pavimentação de toda a malha principal do balneário — estimada em </w:t>
      </w:r>
      <w:r>
        <w:rPr>
          <w:b/>
          <w:bCs/>
        </w:rPr>
        <w:t xml:space="preserve">~40 a 48 km de vias / 350 a 400 mil m²</w:t>
      </w:r>
      <w:r>
        <w:t xml:space="preserve"> de pavimento, ancorada nas quantidades já contratadas (Bacia 1: 13,5 km e ~125 mil m²; Bacia 2: até 10,6 km de galerias).</w:t>
      </w:r>
    </w:p>
    <w:p>
      <w:pPr>
        <w:spacing w:after="140" w:line="276"/>
        <w:jc w:val="both"/>
      </w:pPr>
      <w:r>
        <w:t xml:space="preserve">As Bacias 1 e 2 já endereçam algo como </w:t>
      </w:r>
      <w:r>
        <w:rPr>
          <w:b/>
          <w:bCs/>
        </w:rPr>
        <w:t xml:space="preserve">22 a 30 km de vias</w:t>
      </w:r>
      <w:r>
        <w:t xml:space="preserve">. Restam, para os próximos anos, a Bacia 3 e as ruas fora das bacias — estimadas em </w:t>
      </w:r>
      <w:r>
        <w:rPr>
          <w:b/>
          <w:bCs/>
        </w:rPr>
        <w:t xml:space="preserve">~15 a 20 km / 125 a 150 mil m²</w:t>
      </w:r>
      <w:r>
        <w:t xml:space="preserve">, o que representa de </w:t>
      </w:r>
      <w:r>
        <w:rPr>
          <w:b/>
          <w:bCs/>
        </w:rPr>
        <w:t xml:space="preserve">75 a 90 mil toneladas de brita</w:t>
      </w:r>
      <w:r>
        <w:t xml:space="preserve"> de demanda potencial só na pavimentação remanescente de Guriri. A isso se soma o fluxo contínuo de novos loteamentos (Pontal de Guriri II, Portal do Ribeirão, Mar Aberto, entre outros),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Gomes: é onde a CIPREM produz mais perto que qualquer concorrente e onde estão o grosso da demanda e as obras. A vantagem sobre o concorrente de volume (MCL) é de R$ 24,6/t na sede e de R$ 31,9/t no corredor. Conceição da Barra entra por paridade (−R$ 0,9/t)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R$ 24,6 a R$ 35,5/t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R$ 24,6/t sobre o concorrente de volume. Conceição da Barra, 25% — paridade de frete, sem produtor local. Jaguaré, 20% — desvantagem de frete, mas incumbente sem capacidade. Boa Esperança, 15% — quase-empate de distância com a MCL (27,9 km pela Rod. Willes Jantorno, com trecho não pavimentado, contra 26 km; ~R$ 1,7/t), peso mantido conservador pela qualidade do acesso e pelo relacionamento do incumbente.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207 a 245 mil t/ano.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273 mil t/ano no mercado-base conservador de dois municípios (índice exato de 1,669 t/hab/ano de 2025 aplicado à população da área; piso prudente de 249 mil) e mercado endereçável de 421–577 mil t/ano somadas as praças alcançáveis por CIF e as obras — contra o qual o platô de 237,5 mil t/ano representa 41 a 56%, e não os 87 a 96% que a leitura restrita ao mercado-base sugeriria; (ii) um ciclo extraordinário de obras públicas (&gt;R$ 1 bilhão) que adiciona 70–100 mil t/ano de brita durante a janela de construção, além do potencial de 450–520 mil t da pavimentação remanescente de Guriri, do qual as projeções incorporam apenas 75–90 mil t; (iii) vantagem logística estrutural e mensurada — R$ 24,6/t sobre o concorrente de volume na sede e R$ 31,9/t no corredor de Nestor Gomes, em produto cujo preço posto é dominado pelo frete; (iv) concorrência em que o player mais próximo ancora preço mas não tem escala para disputar volume, com falhas de atendimento exploráveis; e (v) respaldo de um grupo cuja unidade em operação já pratica, em 2025, volume 0,5% superior ao platô aqui projetado. A captura ponderada por praça resulta em 207–245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As distâncias desta versão já partem dessa referência. Restam o pino exato da boca da lavra (marcar no local) e a poligonal ANM no SIGMINE, para o refino final da régua na versão de protocolo.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da Usibrita e da Sangali, e contradição da MCL. </w:t>
      </w:r>
      <w:r>
        <w:rPr>
          <w:b w:val="0"/>
        </w:rPr>
        <w:t>O estudo adota 62 km entre a MCL e a sede de São Mateus, enquanto a coordenada de base indica ~74 km; mantém-se 62 km por ser a hipótese menos favorável à CIPREM até que a poligonal decida.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