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Jaguaré, a 57,1 km da sede, fora do mercado-base. Cabe distinguir duas funções que os documentos anteriores tratavam como uma só: essa operação de Jaguaré é o produtor mais próximo de São Mateus e serve de referência de preço na praça, mas nem nisso alcança a CIPREM — chega à sede de 57,1 km contra 40,7 km, R$ 14,9 por tonelada atrás no frete — e vendeu menos de um quinto da demanda do próprio município onde se instala, sem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dentro do próprio município: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350–400 mil m² de vias — 490–560 mil t de agregados, 206–235 mil t de brita — espalhados por cerca de uma década pela própria lógica construtiva (pavimenta-se depois de drenar, bacia a bacia; a Bacia 1 corre por 1.620 dias), das quais as projeções contabilizam, conservadoramente, apenas a brita do remanescente: 75–90 mil t, pouco mais de um terço do potencial.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representa 41 a 56%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207 a 245 mil t/ano, faixa na qual o platô se posiciona a 81%.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