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(7ª rodada, incorporando os apontamentos do cliente — demanda pelo índice exato 2025, régua de frete integralmente medida, mercado-base de três municípios, e agora a memória de cálculo das obras/Guriri com o horizonte de 14 anos).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dentro do próprio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490 e 560 mil toneladas de agregados, das quais 206 a 235 mil de brita, distribuídas ao longo de cerca de uma década pela própria lógica construtiva: pavimenta-se depois de drenar, bacia a bacia (a Bacia 2 conclui em 2028; a Bacia 1 corre por 1.620 dias contratuais; a Bacia 3 ainda será licitada). As projeções do empreendimento incorporam apenas a brita da malha remanescente — 75 a 90 mil t, pouco mais de um terço do potencial de brita de Guriri; os outros dois terços correspondem à malha das Bacias 1 e 2, já contada na camada de obras contratadas. O restante permanece como demanda adicional, real e já contratada em parte, não incorporada às projeções de receita. O balneário é, no fundo, demanda REPRIMIDA de pavimentação: ~144 logradouros oficiais cresceram sobre ruas de areia porque alagavam, e a macrodrenagem remove exatamente esse bloqueio. E a régua temporal fecha com a dívida: pelo SAC, a produção que quita as parcelas com folga (DSCR 1,3) cai de ~210 mil t/ano no pico (ano 3) para ~139 mil no ano 14, enquanto a captura recorrente sem nenhuma obra é de 165 a 185 mil t/ano — a memória de cálculo anexa (Memória de Cálculo — Obras e Guriri) demonstra, ano a ano, que as camadas extraordinárias são reforço da janela crítica, não condição de sobrevivência.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(7ª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Obras e Guriri — memória de cálculo anexa e duas correções de unidade. A pedido do cliente, cada frase conclusiva do parágrafo de obras foi decomposta em fonte, coeficiente e conta na Memória de Cálculo — Obras e Guriri, anexa ao pacote, com verificação por agente revisor independente. Duas correções decorrem dela, e ambas AUMENTAM os números: (1) o potencial da malha completa de Guriri usava 1,3 t/m² contra o fator declarado de 1,4 — corrigido de 450–520 para 490–560 mil t de agregados; (2) o “cerca de 15% a 20%” comparava a brita incorporada (75–90 mil t) com o potencial em agregados — unidades misturadas; na mesma unidade, as projeções incorporam pouco mais de um terço do potencial de brita de Guriri (75–90 de 206–235 mil t). Entram ainda dois fatos documentais novos: a Bacia 1 tem prazo contratual de 1.620 dias (~4,4 anos), e os bairros oficiais Guriri Norte e Guriri Sul somam ~144 logradouros com CEP, com numeração que alcança a Rua 48 e a Avenida 12ª — acima da premissa de grade (31 ruas/11 avenidas), o que indica que a estimativa de área é piso. O texto passa a explicitar o horizonte: pela lógica construtiva (pavimenta-se depois de drenar, bacia a bacia), a pavimentação se espalha por ~uma década; e o pareamento com a dívida (SAC) mostra a produção exigida CAINDO de ~210 para ~139 mil t/ano (DSCR 1,3) enquanto a captura recorrente sem obras é de 165–185 mil t/ano — as obras são reforço da janela crítica, não condição de sobrevivência. Segue pendente o inventário rua a rua medido: o protocolo de 17 medições está na planilha Levantamento_Guriri.xlsx, e o resultado substituirá a estimativa de grade (350–400 mil m²) quando preenchido.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 e a poligonal ANM no SIGMINE.</w:t>
      </w:r>
    </w:p>
    <w:p>
      <w:pPr>
        <w:spacing w:after="160"/>
      </w:pPr>
      <w:r>
        <w:rPr>
          <w:b w:val="0"/>
          <w:i w:val="0"/>
          <w:color w:val="C00000"/>
        </w:rPr>
        <w:t>Linha do corredor de Nestor Gomes suprimida da régua de frete (a supressão não aparece em vermelho no corpo). O ponto foi levantado na revisão do cliente: Nestor Gomes é distrito de São Mateus, e a população do município — que já inclui os moradores do distrito — entra uma única vez na conta de demanda; a linha não estaria contando duas vezes a mesma coisa? Nos valores, não havia dupla contagem, e isso foi verificado nos três pontos onde poderia haver: a linha do corredor não carregava população (a coluna trazia “proximidade imediata”, enquanto a de São Mateus traz 134,4 mil hab); a demanda do item 6 aplica o índice a São Mateus uma vez só, sobre 134.423 hab; e os pesos de captura do item 8 aplicam um único percentual de 65% ao conjunto “sede, Guriri e corredor”. Nenhuma tonelada era contada duas vezes. A linha saiu, ainda assim, por três razões somadas: numa tabela em que cada linha é uma praça de mercado, uma linha que não é praça se lê como erro; com Nestor Gomes medido em 12,3 km, a vantagem derivada (R$ 31,7/t) saiu idêntica à da própria sede, de modo que a linha não trazia número novo; e a distância do concorrente até o distrito era a única da régua obtida por derivação geométrica, e não por medição — de sorte que a igualdade com a sede era consequência aritmética da própria derivação, não achado independente. Retirada a linha, a régua passa a repousar inteiramente em distâncias medidas ponta a ponta. O único fato genuíno e medido do corredor foi preservado no item 8 do Estudo, onde pertence: entregar junto à cava custa R$ 11,2/t de frete contra R$ 37,0/t até a sede — gradiente de margem dentro de um mercado já contado, que orienta prioridade comercial sem constituir mercado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