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1,4 t/m²</w:t>
            </w:r>
          </w:p>
        </w:tc>
        <w:tc>
          <w:tcPr>
            <w:tcW w:type="dxa" w:w="2880"/>
          </w:tcPr>
          <w:p>
            <w:r>
              <w:rPr>
                <w:sz w:val="18"/>
              </w:rPr>
              <w:t>ANEPAC; inclui base, revestimento, meio-fio/sarjeta, calçada e drenagem superficial — ver build-up técnico no Anexo B</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de São Mateus / ES-318 — 24,6 km, 3 pontes (R$ 190,2 mi, em execução)</w:t>
            </w:r>
          </w:p>
        </w:tc>
        <w:tc>
          <w:tcPr>
            <w:tcW w:type="dxa" w:w="2160"/>
          </w:tcPr>
          <w:p>
            <w:r>
              <w:rPr>
                <w:sz w:val="18"/>
              </w:rPr>
              <w:t>24,6 km × 9.800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da ES-315 — 12,06 km (R$ 92,1 mi): pista nova ≈ rodovia de 2 faixas</w:t>
            </w:r>
          </w:p>
        </w:tc>
        <w:tc>
          <w:tcPr>
            <w:tcW w:type="dxa" w:w="2160"/>
          </w:tcPr>
          <w:p>
            <w:r>
              <w:rPr>
                <w:sz w:val="18"/>
              </w:rPr>
              <w:t>12,06 km × 9.800 t/km</w:t>
            </w:r>
          </w:p>
        </w:tc>
        <w:tc>
          <w:tcPr>
            <w:tcW w:type="dxa" w:w="2160"/>
          </w:tcPr>
          <w:p>
            <w:r>
              <w:rPr>
                <w:sz w:val="18"/>
              </w:rPr>
              <w:t>118</w:t>
            </w:r>
          </w:p>
        </w:tc>
        <w:tc>
          <w:tcPr>
            <w:tcW w:type="dxa" w:w="2160"/>
          </w:tcPr>
          <w:p>
            <w:r>
              <w:rPr>
                <w:sz w:val="18"/>
              </w:rPr>
              <w:t>COEFICIENTE (km documental)</w:t>
            </w:r>
          </w:p>
        </w:tc>
      </w:tr>
      <w:tr>
        <w:tc>
          <w:tcPr>
            <w:tcW w:type="dxa" w:w="2160"/>
          </w:tcPr>
          <w:p>
            <w:r>
              <w:rPr>
                <w:sz w:val="18"/>
              </w:rPr>
              <w:t>BR-101 — terceiras faixas, 21,6 km (concessão): 1 faixa ≈ 30–50% de uma pista</w:t>
            </w:r>
          </w:p>
        </w:tc>
        <w:tc>
          <w:tcPr>
            <w:tcW w:type="dxa" w:w="2160"/>
          </w:tcPr>
          <w:p>
            <w:r>
              <w:rPr>
                <w:sz w:val="18"/>
              </w:rPr>
              <w:t>21,6 km × 9.800 × 0,30 a 0,50</w:t>
            </w:r>
          </w:p>
        </w:tc>
        <w:tc>
          <w:tcPr>
            <w:tcW w:type="dxa" w:w="2160"/>
          </w:tcPr>
          <w:p>
            <w:r>
              <w:rPr>
                <w:sz w:val="18"/>
              </w:rPr>
              <w:t>64–106</w:t>
            </w:r>
          </w:p>
        </w:tc>
        <w:tc>
          <w:tcPr>
            <w:tcW w:type="dxa" w:w="2160"/>
          </w:tcPr>
          <w:p>
            <w:r>
              <w:rPr>
                <w:sz w:val="18"/>
              </w:rPr>
              <w:t>PREMISSA (km documental)</w:t>
            </w:r>
          </w:p>
        </w:tc>
      </w:tr>
      <w:tr>
        <w:tc>
          <w:tcPr>
            <w:tcW w:type="dxa" w:w="2160"/>
          </w:tcPr>
          <w:p>
            <w:r>
              <w:rPr>
                <w:sz w:val="18"/>
              </w:rPr>
              <w:t>Macrodrenagem Bacia 1 — pavimentação contratada 125.000 m²</w:t>
            </w:r>
          </w:p>
        </w:tc>
        <w:tc>
          <w:tcPr>
            <w:tcW w:type="dxa" w:w="2160"/>
          </w:tcPr>
          <w:p>
            <w:r>
              <w:rPr>
                <w:sz w:val="18"/>
              </w:rPr>
              <w:t>125.000 m² × 1,4 t/m²</w:t>
            </w:r>
          </w:p>
        </w:tc>
        <w:tc>
          <w:tcPr>
            <w:tcW w:type="dxa" w:w="2160"/>
          </w:tcPr>
          <w:p>
            <w:r>
              <w:rPr>
                <w:sz w:val="18"/>
              </w:rPr>
              <w:t>175</w:t>
            </w:r>
          </w:p>
        </w:tc>
        <w:tc>
          <w:tcPr>
            <w:tcW w:type="dxa" w:w="2160"/>
          </w:tcPr>
          <w:p>
            <w:r>
              <w:rPr>
                <w:sz w:val="18"/>
              </w:rPr>
              <w:t>COEFICIENTE (m² do edital)</w:t>
            </w:r>
          </w:p>
        </w:tc>
      </w:tr>
      <w:tr>
        <w:tc>
          <w:tcPr>
            <w:tcW w:type="dxa" w:w="2160"/>
          </w:tcPr>
          <w:p>
            <w:r>
              <w:rPr>
                <w:sz w:val="18"/>
              </w:rPr>
              <w:t>Macrodrenagem Bacia 1 — galerias 13,5 km (simples/dupla/tripla)</w:t>
            </w:r>
          </w:p>
        </w:tc>
        <w:tc>
          <w:tcPr>
            <w:tcW w:type="dxa" w:w="2160"/>
          </w:tcPr>
          <w:p>
            <w:r>
              <w:rPr>
                <w:sz w:val="18"/>
              </w:rPr>
              <w:t>13.500 m × 2,4 a 4,0 m³ de concreto/m × 1,85 t de agregado/m³</w:t>
            </w:r>
          </w:p>
        </w:tc>
        <w:tc>
          <w:tcPr>
            <w:tcW w:type="dxa" w:w="2160"/>
          </w:tcPr>
          <w:p>
            <w:r>
              <w:rPr>
                <w:sz w:val="18"/>
              </w:rPr>
              <w:t>60–100</w:t>
            </w:r>
          </w:p>
        </w:tc>
        <w:tc>
          <w:tcPr>
            <w:tcW w:type="dxa" w:w="2160"/>
          </w:tcPr>
          <w:p>
            <w:r>
              <w:rPr>
                <w:sz w:val="18"/>
              </w:rPr>
              <w:t>PREMISSA (km do edital)</w:t>
            </w:r>
          </w:p>
        </w:tc>
      </w:tr>
      <w:tr>
        <w:tc>
          <w:tcPr>
            <w:tcW w:type="dxa" w:w="2160"/>
          </w:tcPr>
          <w:p>
            <w:r>
              <w:rPr>
                <w:sz w:val="18"/>
              </w:rPr>
              <w:t>Macrodrenagem Bacia 2 — R$ 306,5 mi (galerias ≤10,6 km + pavimentação)</w:t>
            </w:r>
          </w:p>
        </w:tc>
        <w:tc>
          <w:tcPr>
            <w:tcW w:type="dxa" w:w="2160"/>
          </w:tcPr>
          <w:p>
            <w:r>
              <w:rPr>
                <w:sz w:val="18"/>
              </w:rPr>
              <w:t>paridade de valor com a Bacia 1: 0,85 a 1,0 × (175 + 60–100 mil t)</w:t>
            </w:r>
          </w:p>
        </w:tc>
        <w:tc>
          <w:tcPr>
            <w:tcW w:type="dxa" w:w="2160"/>
          </w:tcPr>
          <w:p>
            <w:r>
              <w:rPr>
                <w:sz w:val="18"/>
              </w:rPr>
              <w:t>200–275</w:t>
            </w:r>
          </w:p>
        </w:tc>
        <w:tc>
          <w:tcPr>
            <w:tcW w:type="dxa" w:w="2160"/>
          </w:tcPr>
          <w:p>
            <w:r>
              <w:rPr>
                <w:sz w:val="18"/>
              </w:rPr>
              <w:t>PREMISSA (valor documental)</w:t>
            </w:r>
          </w:p>
        </w:tc>
      </w:tr>
      <w:tr>
        <w:tc>
          <w:tcPr>
            <w:tcW w:type="dxa" w:w="2160"/>
          </w:tcPr>
          <w:p>
            <w:r>
              <w:rPr>
                <w:sz w:val="18"/>
              </w:rPr>
              <w:t>Pontes e obras de arte do Contorno (3 pontes)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862–1.030</w:t>
            </w:r>
          </w:p>
        </w:tc>
        <w:tc>
          <w:tcPr>
            <w:tcW w:type="dxa" w:w="2160"/>
          </w:tcPr>
          <w:p>
            <w:r>
              <w:rPr>
                <w:sz w:val="18"/>
              </w:rPr>
            </w:r>
          </w:p>
        </w:tc>
      </w:tr>
    </w:tbl>
    <w:p>
      <w:pPr>
        <w:spacing w:after="120"/>
      </w:pPr>
      <w:r>
        <w:rPr>
          <w:b w:val="0"/>
          <w:i w:val="0"/>
        </w:rPr>
        <w:t>A reconstrução soma 862 a 1.030 mil t. A faixa publicada no Estudo — 700 a 950 mil t — é INFERIOR à reconstrução: o número do pacote é conservador, não inflado. O limite inferior publicado admite que as parcelas estimadas por premissa (galerias, Bacia 2 por paridade, terceiras faixas) venham menores que o previsto; e a lista nem inclui as frentes menores catalogadas no Estudo (Fundo Cidades ~R$ 59 mi, Sítio Histórico do Porto &gt;R$ 10 mi, Mercado Municipal, Complexo de Saúde).</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w:t>
      </w:r>
    </w:p>
    <w:p>
      <w:pPr>
        <w:spacing w:after="120"/>
      </w:pPr>
      <w:r>
        <w:rPr>
          <w:b w:val="0"/>
          <w:i w:val="0"/>
        </w:rPr>
        <w:t>A malha é estimada por grade: 40–48 km de vias × largura média de caixa. A âncora da largura é o próprio contrato da Bacia 1: 125.000 m² ÷ 13,5 km = 9,26 m por metro linear. 40–48 km × ~8,3–8,7 m ≈ 350–400 mil m². Cruzamentos independentes: os bairros oficiais Guriri Norte e Guriri Sul somam ~144 logradouros com CEP (69–70 + 74 — diretórios divergem em ±1; um deles, visivelmente incompleto, lista 17 [E30, E31]). E a toponímia oficial REFORÇA o conservadorismo: os nomes registrados alcançam a Rua Quarenta e Oito e a Avenida Décima Segunda [E32, E33, E41] — acima da premissa de grade (31 ruas / 11 avenidas) usada na estimativa. Contexto físico para evitar confusão: a ILHA de Guriri tem ~42 km e ~102 km² [E40], mas o balneário urbanizado de São Mateus ocupa ~8 km dela — a malha aqui estimada é a do balneário, não a da ilha. Selo: PREMISSA ancorada em DOCUMENTAL — e é o número com o plano de refino mais concreto: o protocolo de 17 medições da planilha Levantamento_Guriri.xlsx (seção 3 desta memória) substitui a estimativa por um inventário rua a rua medido.</w:t>
      </w:r>
    </w:p>
    <w:p>
      <w:pPr>
        <w:spacing w:after="120" w:before="160"/>
      </w:pPr>
      <w:r>
        <w:rPr>
          <w:b/>
          <w:i w:val="0"/>
          <w:sz w:val="22"/>
        </w:rPr>
        <w:t>Frase 5 — “entre 450 e 520 mil toneladas de agregados” — CORRIGIDA para 490–560 mil t</w:t>
      </w:r>
    </w:p>
    <w:p>
      <w:pPr>
        <w:spacing w:after="120"/>
      </w:pPr>
      <w:r>
        <w:rPr>
          <w:b w:val="0"/>
          <w:i w:val="0"/>
        </w:rPr>
        <w:t>O texto anterior aplicava 1,3 t/m², inconsistente com o fator declarado no próprio Estudo (1,4 t/m²). Conta correta: 350–400 mil m² × 1,4 = 490–560 mil t de agregados na malha completa — em brita (42%): 206–235 mil t. A correção AUMENTA o potencial declarado. Sem dupla contagem com as galerias das Bacias 1 e 2: estas estão na conta das obras (frase 1); o fator 1,4 aplicado à malha cobre pavimento e drenagem superficial (Anexo B). Selo: COEFICIENTE sobre PREMISSA de área.</w:t>
      </w:r>
    </w:p>
    <w:p>
      <w:pPr>
        <w:spacing w:after="120" w:before="160"/>
      </w:pPr>
      <w:r>
        <w:rPr>
          <w:b/>
          <w:i w:val="0"/>
          <w:sz w:val="22"/>
        </w:rPr>
        <w:t>Frase 6 — “As projeções incorporam 75 a 90 mil t desse potencial, cerca de 15% a 20%” — CORRIGIDA: mesma unidade, ≈ um terço</w:t>
      </w:r>
    </w:p>
    <w:p>
      <w:pPr>
        <w:spacing w:after="120"/>
      </w:pPr>
      <w:r>
        <w:rPr>
          <w:b w:val="0"/>
          <w:i w:val="0"/>
        </w:rPr>
        <w:t>Os 75–90 mil t são BRITA do remanescente (Bacia 3 + ruas fora das bacias: 125–150 mil m² × 1,4 × 42% = 73.5–88.2 mil t ≈ 75–90). O “15% a 20%” anterior dividia essa brita pelo potencial em AGREGADOS — unidades misturadas. Na mesma unidade: por área, pareando cenário a cenário (125/350 e 150/400), o remanescente é 35,7%–37,5% da malha; em brita, idem: 74–88 de 206–235 mil t (35,7%–37,5%). Em ambas as leituras, as projeções incorporam APENAS POUCO MAIS DE UM TERÇO do potencial de Guriri — os outros dois terços (a malha das Bacias 1 e 2) já estão contados na camada de obras, com cronograma contratado. Selo: COEFICIENTE.</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12–15</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brita do remanescente (75–90 mil t, frase 6) distribuída pelos anos 5–10 (12–15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(12–15 mil t/ano, anos 5–10), o crescimento vegetativo do setor (~5% a.a. ANEPAC ⇒ +13–15 mil t/ano sobre a captura, cumulativo) e os loteamentos privados contínuos — sem contar Fundo Cidades, Sítio Histórico, Mercado Municipal e o programa da concessão da BR-101, contratado até 2048.</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de ~144 logradouros por cerca de UMA DÉCADA — não é um pico de 4 anos que desaparece: é um estoque de vias a pavimentar, com financiamento público já contratado em dois terços, sendo liberado em fases ao longo do prazo do financiamento da CIPREM.</w:t>
      </w:r>
    </w:p>
    <w:p>
      <w:pPr>
        <w:spacing w:after="120" w:before="200"/>
      </w:pPr>
      <w:r>
        <w:rPr>
          <w:b/>
          <w:i w:val="0"/>
          <w:sz w:val="26"/>
        </w:rPr>
        <w:t>3. Inventário viário de Guriri — o que está medido e o que falta</w:t>
      </w:r>
    </w:p>
    <w:p>
      <w:pPr>
        <w:spacing w:after="120"/>
      </w:pPr>
      <w:r>
        <w:rPr>
          <w:b w:val="0"/>
          <w:i w:val="0"/>
        </w:rPr>
        <w:t>Contagem oficial: os bairros Guriri Norte (CEP 29946-010 a -970) e Guriri Sul (CEP 29945-010 a -690) somam ~144 logradouros (69–70 + 74) nos diretórios oficiais de CEP, com nomes que alcançam a Rua Quarenta e Oito e a Avenida Décima Segunda. A malha em m², porém, é hoje uma estimativa por grade (frase 4). Para convertê-la em inventário MEDIDO, acompanha esta memória a planilha Levantamento_Guriri.xlsx, com um protocolo de 17 medições no Google Maps que gera a malha inteira, rua a rua: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Passo</w:t>
            </w:r>
          </w:p>
        </w:tc>
        <w:tc>
          <w:tcPr>
            <w:tcW w:type="dxa" w:w="2880"/>
          </w:tcPr>
          <w:p>
            <w:r>
              <w:rPr>
                <w:b/>
                <w:sz w:val="18"/>
              </w:rPr>
              <w:t>O que medir</w:t>
            </w:r>
          </w:p>
        </w:tc>
        <w:tc>
          <w:tcPr>
            <w:tcW w:type="dxa" w:w="2880"/>
          </w:tcPr>
          <w:p>
            <w:r>
              <w:rPr>
                <w:b/>
                <w:sz w:val="18"/>
              </w:rPr>
              <w:t>Células</w:t>
            </w:r>
          </w:p>
        </w:tc>
      </w:tr>
      <w:tr>
        <w:tc>
          <w:tcPr>
            <w:tcW w:type="dxa" w:w="2880"/>
          </w:tcPr>
          <w:p>
            <w:r>
              <w:rPr>
                <w:sz w:val="18"/>
              </w:rPr>
              <w:t>1</w:t>
            </w:r>
          </w:p>
        </w:tc>
        <w:tc>
          <w:tcPr>
            <w:tcW w:type="dxa" w:w="2880"/>
          </w:tcPr>
          <w:p>
            <w:r>
              <w:rPr>
                <w:sz w:val="18"/>
              </w:rPr>
              <w:t>Extensão norte–sul da malha urbanizada (1 medição)</w:t>
            </w:r>
          </w:p>
        </w:tc>
        <w:tc>
          <w:tcPr>
            <w:tcW w:type="dxa" w:w="2880"/>
          </w:tcPr>
          <w:p>
            <w:r>
              <w:rPr>
                <w:sz w:val="18"/>
              </w:rPr>
              <w:t>B5</w:t>
            </w:r>
          </w:p>
        </w:tc>
      </w:tr>
      <w:tr>
        <w:tc>
          <w:tcPr>
            <w:tcW w:type="dxa" w:w="2880"/>
          </w:tcPr>
          <w:p>
            <w:r>
              <w:rPr>
                <w:sz w:val="18"/>
              </w:rPr>
              <w:t>2</w:t>
            </w:r>
          </w:p>
        </w:tc>
        <w:tc>
          <w:tcPr>
            <w:tcW w:type="dxa" w:w="2880"/>
          </w:tcPr>
          <w:p>
            <w:r>
              <w:rPr>
                <w:sz w:val="18"/>
              </w:rPr>
              <w:t>Largura leste–oeste em 5 estações (5 medições)</w:t>
            </w:r>
          </w:p>
        </w:tc>
        <w:tc>
          <w:tcPr>
            <w:tcW w:type="dxa" w:w="2880"/>
          </w:tcPr>
          <w:p>
            <w:r>
              <w:rPr>
                <w:sz w:val="18"/>
              </w:rPr>
              <w:t>B8:B12</w:t>
            </w:r>
          </w:p>
        </w:tc>
      </w:tr>
      <w:tr>
        <w:tc>
          <w:tcPr>
            <w:tcW w:type="dxa" w:w="2880"/>
          </w:tcPr>
          <w:p>
            <w:r>
              <w:rPr>
                <w:sz w:val="18"/>
              </w:rPr>
              <w:t>3</w:t>
            </w:r>
          </w:p>
        </w:tc>
        <w:tc>
          <w:tcPr>
            <w:tcW w:type="dxa" w:w="2880"/>
          </w:tcPr>
          <w:p>
            <w:r>
              <w:rPr>
                <w:sz w:val="18"/>
              </w:rPr>
              <w:t>Nº de avenidas em cada estação (5 contagens)</w:t>
            </w:r>
          </w:p>
        </w:tc>
        <w:tc>
          <w:tcPr>
            <w:tcW w:type="dxa" w:w="2880"/>
          </w:tcPr>
          <w:p>
            <w:r>
              <w:rPr>
                <w:sz w:val="18"/>
              </w:rPr>
              <w:t>C8:C12</w:t>
            </w:r>
          </w:p>
        </w:tc>
      </w:tr>
      <w:tr>
        <w:tc>
          <w:tcPr>
            <w:tcW w:type="dxa" w:w="2880"/>
          </w:tcPr>
          <w:p>
            <w:r>
              <w:rPr>
                <w:sz w:val="18"/>
              </w:rPr>
              <w:t>4</w:t>
            </w:r>
          </w:p>
        </w:tc>
        <w:tc>
          <w:tcPr>
            <w:tcW w:type="dxa" w:w="2880"/>
          </w:tcPr>
          <w:p>
            <w:r>
              <w:rPr>
                <w:sz w:val="18"/>
              </w:rPr>
              <w:t>Última rua numerada ao norte e ao sul (2 leituras)</w:t>
            </w:r>
          </w:p>
        </w:tc>
        <w:tc>
          <w:tcPr>
            <w:tcW w:type="dxa" w:w="2880"/>
          </w:tcPr>
          <w:p>
            <w:r>
              <w:rPr>
                <w:sz w:val="18"/>
              </w:rPr>
              <w:t>B15:B16</w:t>
            </w:r>
          </w:p>
        </w:tc>
      </w:tr>
      <w:tr>
        <w:tc>
          <w:tcPr>
            <w:tcW w:type="dxa" w:w="2880"/>
          </w:tcPr>
          <w:p>
            <w:r>
              <w:rPr>
                <w:sz w:val="18"/>
              </w:rPr>
              <w:t>5</w:t>
            </w:r>
          </w:p>
        </w:tc>
        <w:tc>
          <w:tcPr>
            <w:tcW w:type="dxa" w:w="2880"/>
          </w:tcPr>
          <w:p>
            <w:r>
              <w:rPr>
                <w:sz w:val="18"/>
              </w:rPr>
              <w:t>Caixa típica de 2 avenidas e 2 ruas (4 medições)</w:t>
            </w:r>
          </w:p>
        </w:tc>
        <w:tc>
          <w:tcPr>
            <w:tcW w:type="dxa" w:w="2880"/>
          </w:tcPr>
          <w:p>
            <w:r>
              <w:rPr>
                <w:sz w:val="18"/>
              </w:rPr>
              <w:t>B19:B22</w:t>
            </w:r>
          </w:p>
        </w:tc>
      </w:tr>
      <w:tr>
        <w:tc>
          <w:tcPr>
            <w:tcW w:type="dxa" w:w="2880"/>
          </w:tcPr>
          <w:p>
            <w:r>
              <w:rPr>
                <w:sz w:val="18"/>
              </w:rPr>
              <w:t>6</w:t>
            </w:r>
          </w:p>
        </w:tc>
        <w:tc>
          <w:tcPr>
            <w:tcW w:type="dxa" w:w="2880"/>
          </w:tcPr>
          <w:p>
            <w:r>
              <w:rPr>
                <w:sz w:val="18"/>
              </w:rPr>
              <w:t>% pavimentado por zona, no satélite (inspeção)</w:t>
            </w:r>
          </w:p>
        </w:tc>
        <w:tc>
          <w:tcPr>
            <w:tcW w:type="dxa" w:w="2880"/>
          </w:tcPr>
          <w:p>
            <w:r>
              <w:rPr>
                <w:sz w:val="18"/>
              </w:rPr>
              <w:t>D8:E12</w:t>
            </w:r>
          </w:p>
        </w:tc>
      </w:tr>
    </w:tbl>
    <w:p>
      <w:pPr>
        <w:spacing w:after="120"/>
      </w:pPr>
      <w:r>
        <w:rPr>
          <w:b w:val="0"/>
          <w:i w:val="0"/>
        </w:rPr>
        <w:t>A planilha interpola o comprimento de cada rua pela largura da ilha na sua posição, soma avenidas por zona, converte em m² e toneladas, e confere os totais contra três âncoras independentes: o contrato da Bacia 1 (125.000 m² ÷ 13,5 km = 9,26 m), a contagem oficial de logradouros (~144) e a banda do Estudo (40–48 km / 350–400 mil m²). Preenchida, ela SUBSTITUI a estimativa: o número medido prevalece e o pacote é ajustado a ele.</w:t>
      </w:r>
    </w:p>
    <w:p>
      <w:pPr>
        <w:spacing w:after="120"/>
      </w:pPr>
      <w:r>
        <w:rPr>
          <w:b w:val="0"/>
          <w:i/>
          <w:color w:val="595959"/>
          <w:sz w:val="18"/>
        </w:rPr>
        <w:t>Aviso de qualidade da coleta (18/08/2026): nesta rodada, o acesso direto aos sites — inclusive os oficiais (der.es.gov.br, es.gov.br, saomateus.es.gov.br) — estava bloqueado no ambiente de pesquisa, e 100% das evidências do Anexo A vieram de trechos retornados pelo mecanismo de busca (marcados [PT] quando literais e [EN-sint] quando síntese do buscador). As citações devem ser revalidadas contra as páginas originais antes do protocolo. Duas correções que a própria coleta impôs ao pacote: a contagem de logradouros passou de ~146 para ~144 (69–70 + 74), e o loteamento “Portal do Ribeirão”, citado em versão anterior do Estudo, NÃO foi confirmado em São Mateus (só homônimo em Florianópolis) — substituído pelos empreendimentos verificados: Soma Vibe (Soma Urbanismo, entrega prevista 2029), Mar Aberto (Guriri Sul), Verão Vermelho e Bosque [E35–E39].</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e o rótulo mudou para “pouco mais de um terço” nesta memória e em todos os documentos do pacote.</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200"/>
      </w:pPr>
      <w:r>
        <w:rPr>
          <w:b/>
          <w:i w:val="0"/>
          <w:sz w:val="26"/>
        </w:rPr>
        <w:t>Anexo B — build-up técnico do fator de 1,4 t/m² e triangulação por valor</w:t>
      </w:r>
    </w:p>
    <w:p>
      <w:pPr>
        <w:spacing w:after="120"/>
      </w:pPr>
      <w:r>
        <w:rPr>
          <w:b w:val="0"/>
          <w:i w:val="0"/>
        </w:rPr>
        <w:t>O fator setorial de 1,4 t de agregados por m² (ANEPAC, “pavimentação urbana”) refere-se à urbanização completa da via. Build-up por camada, para uma via típica em bloco intertravado (padrão da região), por m² de pista: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Dimensão típica</w:t>
            </w:r>
          </w:p>
        </w:tc>
        <w:tc>
          <w:tcPr>
            <w:tcW w:type="dxa" w:w="2160"/>
          </w:tcPr>
          <w:p>
            <w:r>
              <w:rPr>
                <w:b/>
                <w:sz w:val="18"/>
              </w:rPr>
              <w:t>Conta</w:t>
            </w:r>
          </w:p>
        </w:tc>
        <w:tc>
          <w:tcPr>
            <w:tcW w:type="dxa" w:w="2160"/>
          </w:tcPr>
          <w:p>
            <w:r>
              <w:rPr>
                <w:b/>
                <w:sz w:val="18"/>
              </w:rPr>
              <w:t>t/m²</w:t>
            </w:r>
          </w:p>
        </w:tc>
      </w:tr>
      <w:tr>
        <w:tc>
          <w:tcPr>
            <w:tcW w:type="dxa" w:w="2160"/>
          </w:tcPr>
          <w:p>
            <w:r>
              <w:rPr>
                <w:sz w:val="18"/>
              </w:rPr>
              <w:t>Sub-base + base granular (BGS)</w:t>
            </w:r>
          </w:p>
        </w:tc>
        <w:tc>
          <w:tcPr>
            <w:tcW w:type="dxa" w:w="2160"/>
          </w:tcPr>
          <w:p>
            <w:r>
              <w:rPr>
                <w:sz w:val="18"/>
              </w:rPr>
              <w:t>15–20 cm compactados</w:t>
            </w:r>
          </w:p>
        </w:tc>
        <w:tc>
          <w:tcPr>
            <w:tcW w:type="dxa" w:w="2160"/>
          </w:tcPr>
          <w:p>
            <w:r>
              <w:rPr>
                <w:sz w:val="18"/>
              </w:rPr>
              <w:t>0,15–0,20 m³ × 2,2 t/m³</w:t>
            </w:r>
          </w:p>
        </w:tc>
        <w:tc>
          <w:tcPr>
            <w:tcW w:type="dxa" w:w="2160"/>
          </w:tcPr>
          <w:p>
            <w:r>
              <w:rPr>
                <w:sz w:val="18"/>
              </w:rPr>
              <w:t>0,33–0,44</w:t>
            </w:r>
          </w:p>
        </w:tc>
      </w:tr>
      <w:tr>
        <w:tc>
          <w:tcPr>
            <w:tcW w:type="dxa" w:w="2160"/>
          </w:tcPr>
          <w:p>
            <w:r>
              <w:rPr>
                <w:sz w:val="18"/>
              </w:rPr>
              <w:t>Colchão de assentamento (pó de pedra)</w:t>
            </w:r>
          </w:p>
        </w:tc>
        <w:tc>
          <w:tcPr>
            <w:tcW w:type="dxa" w:w="2160"/>
          </w:tcPr>
          <w:p>
            <w:r>
              <w:rPr>
                <w:sz w:val="18"/>
              </w:rPr>
              <w:t>5 cm</w:t>
            </w:r>
          </w:p>
        </w:tc>
        <w:tc>
          <w:tcPr>
            <w:tcW w:type="dxa" w:w="2160"/>
          </w:tcPr>
          <w:p>
            <w:r>
              <w:rPr>
                <w:sz w:val="18"/>
              </w:rPr>
              <w:t>0,05 m³ × 1,7 t/m³</w:t>
            </w:r>
          </w:p>
        </w:tc>
        <w:tc>
          <w:tcPr>
            <w:tcW w:type="dxa" w:w="2160"/>
          </w:tcPr>
          <w:p>
            <w:r>
              <w:rPr>
                <w:sz w:val="18"/>
              </w:rPr>
              <w:t>0,09</w:t>
            </w:r>
          </w:p>
        </w:tc>
      </w:tr>
      <w:tr>
        <w:tc>
          <w:tcPr>
            <w:tcW w:type="dxa" w:w="2160"/>
          </w:tcPr>
          <w:p>
            <w:r>
              <w:rPr>
                <w:sz w:val="18"/>
              </w:rPr>
              <w:t>Bloco intertravado (concreto)</w:t>
            </w:r>
          </w:p>
        </w:tc>
        <w:tc>
          <w:tcPr>
            <w:tcW w:type="dxa" w:w="2160"/>
          </w:tcPr>
          <w:p>
            <w:r>
              <w:rPr>
                <w:sz w:val="18"/>
              </w:rPr>
              <w:t>8 cm</w:t>
            </w:r>
          </w:p>
        </w:tc>
        <w:tc>
          <w:tcPr>
            <w:tcW w:type="dxa" w:w="2160"/>
          </w:tcPr>
          <w:p>
            <w:r>
              <w:rPr>
                <w:sz w:val="18"/>
              </w:rPr>
              <w:t>0,08 m³ × ~1,9 t de agregado/m³</w:t>
            </w:r>
          </w:p>
        </w:tc>
        <w:tc>
          <w:tcPr>
            <w:tcW w:type="dxa" w:w="2160"/>
          </w:tcPr>
          <w:p>
            <w:r>
              <w:rPr>
                <w:sz w:val="18"/>
              </w:rPr>
              <w:t>0,15</w:t>
            </w:r>
          </w:p>
        </w:tc>
      </w:tr>
      <w:tr>
        <w:tc>
          <w:tcPr>
            <w:tcW w:type="dxa" w:w="2160"/>
          </w:tcPr>
          <w:p>
            <w:r>
              <w:rPr>
                <w:sz w:val="18"/>
              </w:rPr>
              <w:t>Meio-fio + sarjeta (2 lados, caixa ~9 m)</w:t>
            </w:r>
          </w:p>
        </w:tc>
        <w:tc>
          <w:tcPr>
            <w:tcW w:type="dxa" w:w="2160"/>
          </w:tcPr>
          <w:p>
            <w:r>
              <w:rPr>
                <w:sz w:val="18"/>
              </w:rPr>
              <w:t>~0,07 m³/m linear</w:t>
            </w:r>
          </w:p>
        </w:tc>
        <w:tc>
          <w:tcPr>
            <w:tcW w:type="dxa" w:w="2160"/>
          </w:tcPr>
          <w:p>
            <w:r>
              <w:rPr>
                <w:sz w:val="18"/>
              </w:rPr>
              <w:t>0,07 ÷ 9 × 1,9</w:t>
            </w:r>
          </w:p>
        </w:tc>
        <w:tc>
          <w:tcPr>
            <w:tcW w:type="dxa" w:w="2160"/>
          </w:tcPr>
          <w:p>
            <w:r>
              <w:rPr>
                <w:sz w:val="18"/>
              </w:rPr>
              <w:t>0,01–0,02</w:t>
            </w:r>
          </w:p>
        </w:tc>
      </w:tr>
      <w:tr>
        <w:tc>
          <w:tcPr>
            <w:tcW w:type="dxa" w:w="2160"/>
          </w:tcPr>
          <w:p>
            <w:r>
              <w:rPr>
                <w:sz w:val="18"/>
              </w:rPr>
              <w:t>Calçadas (2 × 2 m, e=6 cm)</w:t>
            </w:r>
          </w:p>
        </w:tc>
        <w:tc>
          <w:tcPr>
            <w:tcW w:type="dxa" w:w="2160"/>
          </w:tcPr>
          <w:p>
            <w:r>
              <w:rPr>
                <w:sz w:val="18"/>
              </w:rPr>
              <w:t>0,24 m³/m linear</w:t>
            </w:r>
          </w:p>
        </w:tc>
        <w:tc>
          <w:tcPr>
            <w:tcW w:type="dxa" w:w="2160"/>
          </w:tcPr>
          <w:p>
            <w:r>
              <w:rPr>
                <w:sz w:val="18"/>
              </w:rPr>
              <w:t>0,24 ÷ 9 × 1,9</w:t>
            </w:r>
          </w:p>
        </w:tc>
        <w:tc>
          <w:tcPr>
            <w:tcW w:type="dxa" w:w="2160"/>
          </w:tcPr>
          <w:p>
            <w:r>
              <w:rPr>
                <w:sz w:val="18"/>
              </w:rPr>
              <w:t>0,05</w:t>
            </w:r>
          </w:p>
        </w:tc>
      </w:tr>
      <w:tr>
        <w:tc>
          <w:tcPr>
            <w:tcW w:type="dxa" w:w="2160"/>
          </w:tcPr>
          <w:p>
            <w:r>
              <w:rPr>
                <w:sz w:val="18"/>
              </w:rPr>
              <w:t>Drenagem superficial e ramais, bocas de lobo</w:t>
            </w:r>
          </w:p>
        </w:tc>
        <w:tc>
          <w:tcPr>
            <w:tcW w:type="dxa" w:w="2160"/>
          </w:tcPr>
          <w:p>
            <w:r>
              <w:rPr>
                <w:sz w:val="18"/>
              </w:rPr>
              <w:t>variável</w:t>
            </w:r>
          </w:p>
        </w:tc>
        <w:tc>
          <w:tcPr>
            <w:tcW w:type="dxa" w:w="2160"/>
          </w:tcPr>
          <w:p>
            <w:r>
              <w:rPr>
                <w:sz w:val="18"/>
              </w:rPr>
              <w:t>ordem de grandeza</w:t>
            </w:r>
          </w:p>
        </w:tc>
        <w:tc>
          <w:tcPr>
            <w:tcW w:type="dxa" w:w="2160"/>
          </w:tcPr>
          <w:p>
            <w:r>
              <w:rPr>
                <w:sz w:val="18"/>
              </w:rPr>
              <w:t>0,10–0,30</w:t>
            </w:r>
          </w:p>
        </w:tc>
      </w:tr>
      <w:tr>
        <w:tc>
          <w:tcPr>
            <w:tcW w:type="dxa" w:w="2160"/>
          </w:tcPr>
          <w:p>
            <w:r>
              <w:rPr>
                <w:sz w:val="18"/>
              </w:rPr>
              <w:t>SOMA — pavimento + urbanização</w:t>
            </w:r>
          </w:p>
        </w:tc>
        <w:tc>
          <w:tcPr>
            <w:tcW w:type="dxa" w:w="2160"/>
          </w:tcPr>
          <w:p>
            <w:r>
              <w:rPr>
                <w:sz w:val="18"/>
              </w:rPr>
            </w:r>
          </w:p>
        </w:tc>
        <w:tc>
          <w:tcPr>
            <w:tcW w:type="dxa" w:w="2160"/>
          </w:tcPr>
          <w:p>
            <w:r>
              <w:rPr>
                <w:sz w:val="18"/>
              </w:rPr>
            </w:r>
          </w:p>
        </w:tc>
        <w:tc>
          <w:tcPr>
            <w:tcW w:type="dxa" w:w="2160"/>
          </w:tcPr>
          <w:p>
            <w:r>
              <w:rPr>
                <w:sz w:val="18"/>
              </w:rPr>
              <w:t>0,73–1,05</w:t>
            </w:r>
          </w:p>
        </w:tc>
      </w:tr>
      <w:tr>
        <w:tc>
          <w:tcPr>
            <w:tcW w:type="dxa" w:w="2160"/>
          </w:tcPr>
          <w:p>
            <w:r>
              <w:rPr>
                <w:sz w:val="18"/>
              </w:rPr>
              <w:t>Fator ANEPAC adotado (inclui perdas, acessos, praças e reforços de subleito em solo arenoso)</w:t>
            </w:r>
          </w:p>
        </w:tc>
        <w:tc>
          <w:tcPr>
            <w:tcW w:type="dxa" w:w="2160"/>
          </w:tcPr>
          <w:p>
            <w:r>
              <w:rPr>
                <w:sz w:val="18"/>
              </w:rPr>
            </w:r>
          </w:p>
        </w:tc>
        <w:tc>
          <w:tcPr>
            <w:tcW w:type="dxa" w:w="2160"/>
          </w:tcPr>
          <w:p>
            <w:r>
              <w:rPr>
                <w:sz w:val="18"/>
              </w:rPr>
            </w:r>
          </w:p>
        </w:tc>
        <w:tc>
          <w:tcPr>
            <w:tcW w:type="dxa" w:w="2160"/>
          </w:tcPr>
          <w:p>
            <w:r>
              <w:rPr>
                <w:sz w:val="18"/>
              </w:rPr>
              <w:t>1,40</w:t>
            </w:r>
          </w:p>
        </w:tc>
      </w:tr>
    </w:tbl>
    <w:p>
      <w:pPr>
        <w:spacing w:after="120"/>
      </w:pPr>
      <w:r>
        <w:rPr>
          <w:b w:val="0"/>
          <w:i w:val="0"/>
          <w:sz w:val="19"/>
        </w:rPr>
        <w:t>Leitura honesta: o build-up estrito soma 0,73–1,05 t/m²; o fator setorial de 1,4 embute perdas, reforços de subleito (relevantes no solo arenoso de Guriri) e a urbanização acessória. Mesmo que o analista recalcule tudo a 1,0 t/m², o potencial da malha completa seria de 350–400 mil t de agregados (147–168 mil t de brita) — ainda o dobro do que as projeções incorporam. Triangulação por valor: os 235–275 mil t de agregados estimados para a Bacia 1 custam, a R$ 50–80/t posto, R$ 12–22 mi — 3,7% a 6,8% do contrato de R$ 321,8 mi, participação típica de agregados em obra pesada. As três vias (fator setorial, build-up e participação no valor) são independentes e convergem.</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