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foi levantada sobre as plantas dos 21 loteamentos e auditada em 637 pontos no Google Street View: 193,4 km em 437 vias, das quais apenas 26,6% pavimentadas. Faltam 1.135.968 m² de pista e 566.492 m² de calçada — 822–1.077 mil t de agregados, dos quais 705–893 mil t de produtos de britagem, pela banda composicional das tabelas oficiais DER-ES/SINAPI (memória anexa) —, espalhados por cerca de uma década pela própria lógica construtiva (pavimenta-se depois de drenar, bacia a bacia; a Bacia 1 corre por 1.620 dias), das quais as projeções contabilizam, conservadoramente, apenas 78–117 mil t de produtos de britagem, cerca de um décimo do potencial medido — e as Bacias 1 e 2 cobrem só 22,0% do que falta, restando 40 anos de pavimentação ao ritmo contratual do Estado (20 anos com duas bacias simultâneas), contra os 14 anos do financiamento.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