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(11ª rodada, incorporando os apontamentos do cliente — demanda pelo índice exato 2025, régua de frete integralmente medida, mercado-base de três municípios, memória de cálculo das obras/Guriri com horizonte de 14 anos, referencial de coeficientes nas composições oficiais DER-ES/SINAPI e, agora, o levantamento viário final de Guriri — 437 vias medidas e 637 pontos auditados no Google Street View).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de Guriri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um volume agora medido e auditado, e não estimado: o levantamento das 437 vias dos 21 loteamentos que formam o balneário, com a situação de pavimentação verificada em 637 pontos — um a cada ~350 m de via — no Google Street View, apurou 193,4 km de vias, das quais apenas 26,6% pavimentadas — faltam 1.135.968 m² de pista e 566.492 m² de calçada, ou 822 a 1.077 mil toneladas de agregados, das quais 705 a 893 mil de produtos de britagem (banda composicional das tabelas oficiais DER-ES/SINAPI — memória de cálculo anexa). As Bacias 1 e 2 da macrodrenagem cobrem apenas 22,0% desse total: ao ritmo contratual do próprio Estado (125 mil m² em 1.620 dias), concluir a pavimentação de Guriri levaria 40 anos com uma bacia por vez, ou 20 anos com duas simultâneas — contra os 14 anos do financiamento pleiteado. A demanda é liberada em fases pela própria lógica construtiva: pavimenta-se depois de drenar, bacia a bacia (a Bacia 2 conclui em 2028; a Bacia 1 corre por 1.620 dias contratuais; a Bacia 3 ainda será licitada). As projeções do empreendimento incorporam apenas 78 a 117 mil t de produtos de britagem — cerca de um décimo do potencial medido de Guriri, e o equivalente a 3,0 a 3,8 anos de produção integral da pedreira no platô. Parte do restante corresponde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(11ª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Inventário viário de Guriri: a estimativa saiu, o dado medido entrou — e a correção é grande. A malha do balneário foi levantada sobre os PROJETOS DOS 21 LOTEAMENTOS que o compõem e a planilha oficial de loteamentos da Prefeitura, com o traçado de cada uma das 437 vias medido em OpenStreetMap e a situação de pavimentação estabelecida por AUDITORIA DE 637 PONTOS — um a cada ~350 m de via —, verificados um a um no Google Street View, classificando a superfície da pista (asfalto e bloquete = pavimentada; saibro e areia = não) e a existência de calçada nas testadas. Resultado: 193.375 m de vias (193,4 km), das quais 51.379 m (26,6%) pavimentados; faltam 141.996 m de pista — 1.135.968 m² à largura de projeto de 8 m — mais 566.492 m² de calçada. A estimativa por grade que as versões anteriores usavam (40–48 km / 350–400 mil m²) SUBESTIMAVA a malha em 4,0 a 4,8 vezes: ela supunha ~11 avenidas e ~31 ruas numa grade única, quando o balneário é formado por 21 loteamentos distintos. Em toneladas, o que falta pavimentar passa de 256–374 para 822–1.077 mil t de agregados, e de 219–312 para 705–893 mil t de produtos de britagem. Três consequências para o argumento: as Bacias 1 e 2 cobrem apenas 22,0% do que falta, restando 885.968 m² sem contrato; ao ritmo contratual do próprio Estado a pavimentação de Guriri leva de 20 a 40 anos, contra os 14 do financiamento; e o volume que as projeções incorporam (78–117 mil t, inalterado) passa de “pouco mais de um terço” para CERCA DE UM DÉCIMO do potencial — o estudo era ainda mais conservador do que declarava. Registre-se com todas as letras o que NÃO mudou: nenhuma projeção de receita foi tocada. As vendas seguem em 63 mil t (ano 1), 126 mil (ano 2) e 237.516 t/ano a partir do ano 3; a captura ponderada, em 207–245 mil t/ano; o mercado endereçável, em 421–577 mil t/ano; a participação do platô, em 41–56%. O inventário não serviu para aumentar receita — serviu para demonstrar que a demanda sobrevive ao prazo do financiamento.</w:t>
      </w:r>
    </w:p>
    <w:p>
      <w:pPr>
        <w:spacing w:after="160"/>
      </w:pPr>
      <w:r>
        <w:rPr>
          <w:b w:val="0"/>
          <w:i w:val="0"/>
          <w:color w:val="C00000"/>
        </w:rPr>
        <w:t>Retratação e pendência resolvida — o que esta 11ª rodada corrigiu da 10ª. A revisão anterior publicou totais PRELIMINARES do mesmo levantamento, recebidos antes do fechamento da auditoria de campo virtual: 38.868 m pavimentados (20,1%), 154.506 m e 1.236.048 m² a pavimentar, 145.465 m e 581.856 m² de passeio, com o método descrito como “satélite com reverificação a cada 350 m”. A planilha final de 19/08/2026 os substitui: a pista pavimentada sobe para 51.379 m (26,6%) e o que falta cai para 141.996 m, reduzindo o potencial em cerca de 8% — ajuste DESFAVORÁVEL ao nosso argumento e registrado por isso mesmo. O método real também é outro, e melhor: medição do traçado em OpenStreetMap sobre as plantas, mais auditoria completa de 637 pontos no Google Street View, com 69% da metragem decidida por ponto próprio. Duas informações novas entram no pacote. (1) CAMADA DE CONFIANÇA: 136.394 m (70,5% da malha) têm traçado medido sobre imagem e 56.979 m são vias previstas em planta, cuja existência física deve ser confirmada em campo antes de orçar; descontadas integralmente estas últimas, o que falta pavimentar em via medida ainda representa 430 a 542 mil t de produtos de britagem — sozinhas, mais de quatro vezes o que as projeções incorporam. (2) A PENDÊNCIA DECLARADA NA RODADA ANTERIOR ESTÁ RESOLVIDA: a quebra por loteamento é agora o Anexo A-3 da memória de cálculo, com as 21 linhas — proprietário/empreendedor, matrícula de registro, área oficial, nº de vias, pontos auditados, extensão, pavimentado, falta em m e m² e potencial de britagem de cada loteamento —, o que permite auditar o inventário loteamento a loteamento. Todos os números desta rodada são lidos diretamente da planilha-fonte pelo gerador dos documentos, sem digitação intermediária, e a soma das 21 linhas fecha com o total geral em todas as colunas.</w:t>
      </w:r>
    </w:p>
    <w:p>
      <w:pPr>
        <w:spacing w:after="160"/>
      </w:pPr>
      <w:r>
        <w:rPr>
          <w:b w:val="0"/>
          <w:i w:val="0"/>
          <w:color w:val="C00000"/>
        </w:rPr>
        <w:t>Referencial de coeficientes rebaseado — e uma correção contra nós, dita sem rodeio. A pedido do cliente, cada coeficiente que converte obra em tonelada ganhou dossiê próprio (Anexo C da memória): fonte primária, status (oficial / setorial / premissa) e faixa mínima–máxima por tipo de obra. A verificação de fontes expôs um erro nosso: o fator de 1,4 t/m² usado para a pavimentação de Guriri era, na origem, o fator de EDIFICAÇÃO da tabela ANEPAC (1.360 t/1.000 m²), transplantado indevidamente — a linha setorial de pavimentação urbana (0,20–0,33 t/m²) cobre só recapeamento de pista simples. O fator foi substituído por uma banda derivada camada a camada das COMPOSIÇÕES OFICIAIS DER-ES/LABOR-UFES e SINAPI-ES (colchão de pó de 10 cm, blocos, base de BGS, meio-fio, sarjeta, calçada, drenagem): 0,73–0,93 t/m² de agregados, dos quais 0,62–0,78 t/m² de produtos de britagem. Efeito duplo e simétrico: os AGREGADOS TOTAIS de Guriri caem (490–560 → 256–374 mil t), mas os PRODUTOS DE BRITAGEM — o que a CIPREM vende — sobem (206–235 → 219–312 mil t na malha completa; 75–90 → 78–117 mil t no remanescente incorporado), porque em intertravado sobre areia praticamente todo agregado comprado é produto de pedreira, e a participação nacional de 42% subestimava isso. A reconstrução obra a obra pelas composições soma 723–951 mil t — o teto da faixa publicada (700–950) coincide, e o piso publicado é ~3% mais conservador que o composicional. O share incorporado ficava, então, em pouco mais de um terço (35,7%–37,5%) — leitura da época, derrubada pelo inventário medido para cerca de um décimo (ver a nota do inventário), a camada estrutural do exhibit passa de 12–15 para 13–19 mil t/ano (anos 5–10), e a checagem ANEPAC do índice per capita foi precisada: a série regional traz 4,1 t/hab/ano para SUL E SUDESTE (não “Sudeste” isolado) — a demanda corrente, porém, nunca dependeu dela: vem do RAL/ANM. Nenhum outro número do pacote se move.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pouco mais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Ficava pendente, então, o inventário rua a rua medido — pendência ENCERRADA nas rodadas seguintes: o levantamento está feito e auditado ponto a ponto (ver a nota do inventário), e a planilha Levantamento_Guriri.xlsx passou a ser a camada de conversão em toneladas sobre o levantamento do cliente.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