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Sul e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>São Mateus vive um ciclo atípico de investimentos (mais de R$ 1 bilhão em obras estaduais em andamento). Para cada obra foram levantados, quando públicos, a empresa executora (cliente-alvo direto) e a quantidade contratada, com o consumo de agregado estimado por dois referenciais, cada um no seu lugar: o fator setorial da ANEPAC para rodovias (1 km ≈ 9.800 t — tabela apresentada ao Senado em 2009 e reproduzida pelo CETEM), validado por composições oficiais (banda de 6,1–11,0 mil t/km); e, para pavimentação urbana completa, a banda composicional de 0,73–0,93 t/m² derivada camada a camada das tabelas oficiais DER-ES/SINAPI-ES — memória de cálculo anexa, Anexos B e 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anos; a Bacia 1, contratada por 1.620 dias, avança até ~2031).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(70–100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formado por 21 loteamentos, com cerca de 8 km de extensão norte-sul, historicamente com vias precárias e sujeitas a alagamento. O levantamento de 19/08/2026 mediu as 437 vias dos 21 loteamentos sobre as plantas e a planilha oficial de loteamentos da Prefeitura, e estabeleceu a situação de pavimentação por auditoria de 637 pontos — um a cada ~350 m de via —, verificados um a um no Google Street View, classificando a superfície da pista (asfalto e bloquete = pavimentada; saibro e areia = não): são 193.375 m de vias (193,4 km), dos quais apenas 51.379 m (26,6%) estão pavimentados. Esse inventário substitui a estimativa por grade das versões anteriores (40 a 48 km / 350 a 400 mil m²), que subestimava a malha em 4,0 a 4,8 vezes. O plano-mestre de macrodrenagem e pavimentação, dividido em três bacias, ataca essa carência por partes: a Bacia 1 tem 13,5 km de galerias e ~125 mil m² de pavimentação contratados (9,26 m de largura média por metro linear) e a Bacia 2, até 10,6 km de galerias.</w:t>
      </w:r>
    </w:p>
    <w:p>
      <w:pPr>
        <w:spacing w:after="140" w:line="276"/>
        <w:jc w:val="both"/>
      </w:pPr>
      <w:r>
        <w:rPr>
          <w:b w:val="0"/>
        </w:rPr>
        <w:t>Falta pavimentar 141.996 m de pista — 1.135.968 m² à largura média de projeto de 8 m — mais 566.492 m² de calçada em vias já abertas. Pela banda composicional oficial (DER-ES/SINAPI; 0,661 a 0,861 t/m² na pista e 0,126 a 0,175 t/m² na calçada — memória de cálculo anexa), isso representa 822 a 1.077 mil t de agregados, das quais 705 a 893 mil t são produtos de britagem. O levantamento separa ainda o que está medido do que é apenas projeto: 136.394 m de via (70,5% da malha) têm traçado medido sobre imagem e 56.979 m são vias previstas em planta, cuja existência física deve ser confirmada em campo — descontadas integralmente estas últimas, o que falta pavimentar em via medida ainda representa 430 a 542 mil t de produtos de britagem. Três leituras: as Bacias 1 e 2 cobrem cerca de 250 mil m², ou 22,0% do que falta, restando 885.968 m² sem contrato (558 a 708 mil t de britagem); ao ritmo contratual do próprio Estado — 125 mil m² em 1.620 dias, ou 28,4 mil m²/ano —, concluir a pavimentação de Guriri levaria 40 anos com uma bacia por vez e 20 anos com duas simultâneas, contra os 14 anos do financiamento; e o total equivale a 3,0 a 3,8 anos de produção integral da CIPREM no platô. As projeções do empreendimento seguem incorporando apenas 78 a 117 mil t desse potencial — cerca de um décimo (9% a 17%) —, escoados nos anos 5 a 10 (~13 a 19 mil t/ano).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 a 56%; (ii) um ciclo extraordinário de obras públicas (&gt;R$ 1 bilhão) que adiciona 70–100 mil t/ano de brita durante a janela de construção, além do potencial medido e auditado de Guriri — 1.135.968 m² de pista e 566.492 m² de calçada por pavimentar, ou 822–1.077 mil t de agregados, dos quais 705–893 mil t de produtos de britagem —, do qual as projeções incorporam apenas 78–117 mil t, cerca de um décimo;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