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Em </w:t>
      </w:r>
      <w:r>
        <w:rPr>
          <w:rFonts w:ascii="Calibri" w:cs="Calibri" w:eastAsia="Calibri" w:hAnsi="Calibri"/>
          <w:b/>
          <w:bCs/>
          <w:i/>
          <w:iCs/>
          <w:color w:val="C00000"/>
          <w:sz w:val="18"/>
          <w:szCs w:val="18"/>
        </w:rPr>
        <w:t xml:space="preserve">vermelho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, os trechos alterados nesta revisão — por correção de dado verificado em fonte pública ou por ajuste ao mercado-base conservador do Estudo de Mercado anexo.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São Mateus é o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município-polo e o mais populoso da Microrregião Nordeste do Espírito Santo (regionalização estadual da Lei nº 9.768/2011)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com 134,4 mil habitantes — IBGE, estimativa 2025; 8º do Estado — e polo regional de comércio e serviços.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O setor tem natureza essencialmente local: pelo baixo valor por tonelada, o raio econômico de comercialização raramente ultrapassa algumas dezenas de quilômetros, e excepcionalmente 150 km entre a fonte e o consumidor. Por isso, 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mercado-base do empreendimento — definido pelo raio econômico do frete e pela posição real dos concorrentes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— foi delimitado de forma deliberadamente conservadora: restringe-se a São Mateus e Conceição da Barra, que somam 161.881 habitantes (IBGE, estimativa 2025 e Censo 2022), os dois municípios em que a varredura de concorrência não identificou nenhum produtor de brita instalado.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 demanda corrente nesse mercado-base é estimada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entre 235 e 275 mil toneladas/ano. A estimativa parte de um índice de consumo aparente de brita no Espírito Santo de 1,6 a 1,7 t/hab/ano — elaboração própria a partir das vendas declaradas à ANM no Relatório Anual de Lavra (RAL), convergente com o parâmetro setorial da ANEPAC para o Sudeste —, aplicado integralmente à sede (215–230 mil t/ano) e, por conservadorismo, pela metade em Conceição da Barra, município de perfil rural-litorâneo.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As praças vizinhas de Jaguaré e Boa Esperança (~46 mil habitantes; 36–78 mil t/ano pela mesma métrica) foram mantidas fora da linha de base — a primeira por ter produtor instalado, a segunda por gravitar comercialmente para Nova Venécia — e permanecem, ao lado de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Pedro Canário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 oferta instalada confirma a lacuna: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 varredura município a município realizada em agosto de 2026 — em bases públicas de CNPJ, cadastros da ANM e fontes indexadas — não identificou nenhuma pedreira de britagem em atividade em São Mateus ou em Conceição da Barra. Em São Mateus, a presença concorrente é de natureza logístico-comercial: a Pedreira Mattar, sediada em Pinheiros (~70 km), mantém filial no município com CNAE de beneficiamento, sem atividade de extração associada. A operação de britagem mais próxima é a Mineração Usibrita, em Jaguaré (~40 km da sede), ainda em escala reduzida e situada fora do mercado-base. Os produtores de porte operam a partir de ~65 km — Nova Venécia e Pinheiros — e o maior deles a cerca de 100 km, em Rio Bananal</w:t>
      </w:r>
      <w:r>
        <w:rPr>
          <w:rFonts w:ascii="Calibri" w:cs="Calibri" w:eastAsia="Calibri" w:hAnsi="Calibri"/>
          <w:color w:val="000000"/>
          <w:sz w:val="22"/>
          <w:szCs w:val="22"/>
        </w:rPr>
        <w:t>, com parte do suprimento vindo do eixo Linhares–Aracruz (85–140 km). A jazida da CIPREM está a ~35 km da sede de São Mateus, e o corredor de Nestor Gomes que a serve fica a 20 km ou menos: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Essas frentes adicionam 70–100 mil t/ano de demanda extraordinária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é dimensionada no Estudo anexo em 350 a 400 mil m² de pavimento — da ordem de 500 mil toneladas de agregados ao longo dos próximos anos —, das quais as projeções contabilizam, conservadoramente, apenas 75 a 90 mil t de brita da pavimentação remanescente.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Em síntese,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mesmo sob a definição mais conservadora de mercado — linha de base restrita a São Mateus e Conceição da Barra, com as praças disputadas de Jaguaré e Boa Esperança deixadas de fora e sem contar as obras —, a demanda corrente, de 235 a 275 mil t/ano, já supera o platô de produção do projeto, de 216 mil t/ano (82% do teto licenciado), que corresponde a 78–91% dessa demanda: a receita de regime cabe integralmente no mercado-base. Sobre essa base somam-se, como espaço de captura não incorporado às projeções, a demanda extraordinária das obras (70–100 mil t/ano) e as praças mantidas fora da linha de base (36–78 mil t/ano), o que perfaz de 305 a 375 mil t/ano durante a janela de obras.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Às obras cabe ainda outro papel: coincidem com a carência e o ramp-up (anos 1–3, vendas de 63 a 180 mil t/ano), absorvendo a produção inicial justamente no período de maturação comercial. Mercado estruturalmente deficitário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 — sem produtor instalado na base, com o grosso do suprimento viajando de 60 a 140 km —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Retirados do corpo da carta o cálculo "6.888.010,58 t ÷ 4.126.854 hab", o valor pontual de 1,66 t/hab/ano e o endereço do painel Power BI.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valor pontual não é publicado em nenhuma fonte localizável e a própria divisão resulta em 1,67, não 1,66. A carta passa a citar a faixa 1,6–1,7 t/hab/ano, declarada como estimativa própria; a metodologia fica no Estudo anexo, que é o lugar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Substituídas pela faixa única de 235–275 mil t/ano do mercado-base de dois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texto anterior trazia três números divergentes para a mesma grandeza (220, 285 e 275–350 mil t/ano). A faixa nova é a do Estudo anexo e decorre do recorte conservador de São Mateus + Conceição da Barra.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Reduzido ao mercado-base de São Mateus e Conceição da Barra (161.881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Jaguaré tem produtor instalado e Boa Esperança gravita para Nova Venécia. Mantê-los na base inflaria a demanda com praças disputadas; eles passam a figurar como captura adicional, fora das projeções.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>Pendência para o Estudo de Mercado anexo: harmonizar com esta revisão o valor do Contorno da ES-318 (hoje R$ 190,2 milhões), a distância de Rio Bananal (hoje ~73 km) e a posição populacional de São Mateus (hoje 7º; o correto é 8º pelo Censo 2022 e pela estimativa 2025).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