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justificativa-técnica-memória-de-cálculo"/>
    <w:p>
      <w:pPr>
        <w:pStyle w:val="Heading1"/>
      </w:pPr>
      <w:r>
        <w:t xml:space="preserve">JUSTIFICATIVA TÉCNICA — MEMÓRIA DE CÁLCULO</w:t>
      </w:r>
    </w:p>
    <w:bookmarkStart w:id="21" w:name="X75527f8cd5d8187a630c764d235da2d6769ed8e"/>
    <w:p>
      <w:pPr>
        <w:pStyle w:val="Heading2"/>
      </w:pPr>
      <w:r>
        <w:t xml:space="preserve">GTK Pré-Moldados Ltda · Projeto de Implantação · FNE/BNB</w:t>
      </w:r>
    </w:p>
    <w:bookmarkStart w:id="20" w:name="são-mateus-es-agosto-de-2026"/>
    <w:p>
      <w:pPr>
        <w:pStyle w:val="Heading3"/>
      </w:pPr>
      <w:r>
        <w:t xml:space="preserve">São Mateus – ES · agosto de 2026</w:t>
      </w:r>
    </w:p>
    <w:bookmarkEnd w:id="20"/>
    <w:bookmarkEnd w:id="21"/>
    <w:bookmarkStart w:id="22" w:name="natureza-do-projeto-e-base-das-projeções"/>
    <w:p>
      <w:pPr>
        <w:pStyle w:val="Heading2"/>
      </w:pPr>
      <w:r>
        <w:t xml:space="preserve">1. Natureza do projeto e base das projeções</w:t>
      </w:r>
    </w:p>
    <w:p>
      <w:pPr>
        <w:pStyle w:val="FirstParagraph"/>
      </w:pPr>
      <w:r>
        <w:t xml:space="preserve">A GTK Pré-Moldados Ltda (CNPJ 66.492.016/0001-77) é empresa em</w:t>
      </w:r>
      <w:r>
        <w:t xml:space="preserve"> </w:t>
      </w:r>
      <w:r>
        <w:rPr>
          <w:bCs/>
          <w:b/>
        </w:rPr>
        <w:t xml:space="preserve">implantação</w:t>
      </w:r>
      <w:r>
        <w:t xml:space="preserve">, constituída em 28/04/2026, sem exercício contábil encerrado. Na ausência de balancetes históricos, todos os valores da Memória de Cálculo derivam do</w:t>
      </w:r>
      <w:r>
        <w:t xml:space="preserve"> </w:t>
      </w:r>
      <w:r>
        <w:rPr>
          <w:bCs/>
          <w:b/>
        </w:rPr>
        <w:t xml:space="preserve">Estudo de Mercado e Plano Mercadológico</w:t>
      </w:r>
      <w:r>
        <w:t xml:space="preserve"> </w:t>
      </w:r>
      <w:r>
        <w:t xml:space="preserve">anexo (146 referências verificáveis, memória de cálculo recalculada por script e auditoria de fontes própria) e da</w:t>
      </w:r>
      <w:r>
        <w:t xml:space="preserve"> </w:t>
      </w:r>
      <w:r>
        <w:rPr>
          <w:bCs/>
          <w:b/>
        </w:rPr>
        <w:t xml:space="preserve">proposta técnico-comercial contratada</w:t>
      </w:r>
      <w:r>
        <w:t xml:space="preserve"> </w:t>
      </w:r>
      <w:r>
        <w:t xml:space="preserve">(Gervasi REV00, 12/05/2026, R$ 2.723.000, com R$ 600.000 já pagos). A aba</w:t>
      </w:r>
      <w:r>
        <w:t xml:space="preserve"> </w:t>
      </w:r>
      <w:r>
        <w:t xml:space="preserve">“</w:t>
      </w:r>
      <w:r>
        <w:t xml:space="preserve">Mapa de Origem</w:t>
      </w:r>
      <w:r>
        <w:t xml:space="preserve">”</w:t>
      </w:r>
      <w:r>
        <w:t xml:space="preserve"> </w:t>
      </w:r>
      <w:r>
        <w:t xml:space="preserve">da planilha liga cada número à sua fonte primária — cumprindo, para um projeto de implantação, a mesma função de rastreabilidade que o mapa de contas cumpre em empresa com histórico.</w:t>
      </w:r>
    </w:p>
    <w:bookmarkEnd w:id="22"/>
    <w:bookmarkStart w:id="23" w:name="receita-projetada"/>
    <w:p>
      <w:pPr>
        <w:pStyle w:val="Heading2"/>
      </w:pPr>
      <w:r>
        <w:t xml:space="preserve">2. Receita projetada</w:t>
      </w:r>
    </w:p>
    <w:p>
      <w:pPr>
        <w:pStyle w:val="FirstParagraph"/>
      </w:pPr>
      <w:r>
        <w:t xml:space="preserve">A receita de estabilização (ano 3) de</w:t>
      </w:r>
      <w:r>
        <w:t xml:space="preserve"> </w:t>
      </w:r>
      <w:r>
        <w:rPr>
          <w:bCs/>
          <w:b/>
        </w:rPr>
        <w:t xml:space="preserve">R$ 4.791.000</w:t>
      </w:r>
      <w:r>
        <w:t xml:space="preserve"> </w:t>
      </w:r>
      <w:r>
        <w:t xml:space="preserve">não é uma meta arbitrária: é derivada em três passos — capacidade máxima por produto (proposta do fabricante), alocação das horas de produção na proporção em que cada família participa do valor do mercado regional (45% blocos de vedação, 30% alvenaria estrutural e complementos, 25% pavimentação intertravada) e escala única limitada ao</w:t>
      </w:r>
      <w:r>
        <w:t xml:space="preserve"> </w:t>
      </w:r>
      <w:r>
        <w:rPr>
          <w:bCs/>
          <w:b/>
        </w:rPr>
        <w:t xml:space="preserve">teto de empresa de pequeno porte (LC nº 123/2006, art. 3º, II)</w:t>
      </w:r>
      <w:r>
        <w:t xml:space="preserve">. O plano vende</w:t>
      </w:r>
      <w:r>
        <w:t xml:space="preserve"> </w:t>
      </w:r>
      <w:r>
        <w:rPr>
          <w:bCs/>
          <w:b/>
        </w:rPr>
        <w:t xml:space="preserve">menos do que a fábrica consegue produzir</w:t>
      </w:r>
      <w:r>
        <w:t xml:space="preserve">: utiliza ~83% da capacidade efetiva anual (que já desconta feriados locais, manutenção preventiva, trocas de molde, paradas não planejadas e refugo — OEE implícito de 76%). O ramp-up (R$ 2,75 milhões no ano 1; R$ 3,85 milhões no ano 2) corresponde a participações de 10–18% do mercado endereçável — factíveis para o único fabricante de escala industrial num raio de ~150 km, conforme o mapeamento de concorrência do estudo.</w:t>
      </w:r>
    </w:p>
    <w:bookmarkEnd w:id="23"/>
    <w:bookmarkStart w:id="24" w:name="solução-de-alocação-de-custos"/>
    <w:p>
      <w:pPr>
        <w:pStyle w:val="Heading2"/>
      </w:pPr>
      <w:r>
        <w:t xml:space="preserve">3. Solução de alocação de custos</w:t>
      </w:r>
    </w:p>
    <w:p>
      <w:pPr>
        <w:pStyle w:val="FirstParagraph"/>
      </w:pPr>
      <w:r>
        <w:rPr>
          <w:bCs/>
          <w:b/>
        </w:rPr>
        <w:t xml:space="preserve">G31 — Matéria Prima (R</w:t>
      </w:r>
      <m:oMath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r</m:t>
        </m:r>
        <m:r>
          <m:t>e</m:t>
        </m:r>
        <m:r>
          <m:t>c</m:t>
        </m:r>
        <m:r>
          <m:t>e</m:t>
        </m:r>
        <m:r>
          <m:t>b</m:t>
        </m:r>
        <m:r>
          <m:t>e</m:t>
        </m:r>
        <m:r>
          <m:t>u</m:t>
        </m:r>
        <m:r>
          <m:t>o</m:t>
        </m:r>
        <m:r>
          <m:t>s</m:t>
        </m:r>
        <m:r>
          <m:t>c</m:t>
        </m:r>
        <m:r>
          <m:t>u</m:t>
        </m:r>
        <m:r>
          <m:t>s</m:t>
        </m:r>
        <m:r>
          <m:t>t</m:t>
        </m:r>
        <m:r>
          <m:t>o</m:t>
        </m:r>
        <m:r>
          <m:t>s</m:t>
        </m:r>
        <m:r>
          <m:t>v</m:t>
        </m:r>
        <m:r>
          <m:t>a</m:t>
        </m:r>
        <m:r>
          <m:t>r</m:t>
        </m:r>
        <m:r>
          <m:t>i</m:t>
        </m:r>
        <m:r>
          <m:t>á</m:t>
        </m:r>
        <m:r>
          <m:t>v</m:t>
        </m:r>
        <m:r>
          <m:t>e</m:t>
        </m:r>
        <m:r>
          <m:t>i</m:t>
        </m:r>
        <m:r>
          <m:t>s</m:t>
        </m:r>
        <m:r>
          <m:t>i</m:t>
        </m:r>
        <m:r>
          <m:t>n</m:t>
        </m:r>
        <m:r>
          <m:t>d</m:t>
        </m:r>
        <m:r>
          <m:t>u</m:t>
        </m:r>
        <m:r>
          <m:t>s</m:t>
        </m:r>
        <m:r>
          <m:t>t</m:t>
        </m:r>
        <m:r>
          <m:t>r</m:t>
        </m:r>
        <m:r>
          <m:t>i</m:t>
        </m:r>
        <m:r>
          <m:t>a</m:t>
        </m:r>
        <m:r>
          <m:t>i</m:t>
        </m:r>
        <m:r>
          <m:t>s</m:t>
        </m:r>
        <m:r>
          <m:t>d</m:t>
        </m:r>
        <m:r>
          <m:t>o</m:t>
        </m:r>
        <m:r>
          <m:t>m</m:t>
        </m:r>
        <m:r>
          <m:t>i</m:t>
        </m:r>
        <m:r>
          <m:t>x</m:t>
        </m:r>
        <m:r>
          <m:rPr>
            <m:sty m:val="p"/>
          </m:rPr>
          <m:t>—</m:t>
        </m:r>
        <m:r>
          <m:t>c</m:t>
        </m:r>
        <m:r>
          <m:t>i</m:t>
        </m:r>
        <m:r>
          <m:t>m</m:t>
        </m:r>
        <m:r>
          <m:t>e</m:t>
        </m:r>
        <m:r>
          <m:t>n</m:t>
        </m:r>
        <m:r>
          <m:t>t</m:t>
        </m:r>
        <m:r>
          <m:t>o</m:t>
        </m:r>
        <m:r>
          <m:t>a</m:t>
        </m:r>
        <m:r>
          <m:t>g</m:t>
        </m:r>
        <m:r>
          <m:t>r</m:t>
        </m:r>
        <m:r>
          <m:t>a</m:t>
        </m:r>
        <m:r>
          <m:t>n</m:t>
        </m:r>
        <m:r>
          <m:t>e</m:t>
        </m:r>
        <m:r>
          <m:t>l</m:t>
        </m:r>
        <m:r>
          <m:rPr>
            <m:sty m:val="p"/>
          </m:rPr>
          <m:t>,</m:t>
        </m:r>
        <m:r>
          <m:t>a</m:t>
        </m:r>
        <m:r>
          <m:t>g</m:t>
        </m:r>
        <m:r>
          <m:t>r</m:t>
        </m:r>
        <m:r>
          <m:t>e</m:t>
        </m:r>
        <m:r>
          <m:t>g</m:t>
        </m:r>
        <m:r>
          <m:t>a</m:t>
        </m:r>
        <m:r>
          <m:t>d</m:t>
        </m:r>
        <m:r>
          <m:t>o</m:t>
        </m:r>
        <m:r>
          <m:t>s</m:t>
        </m:r>
        <m:r>
          <m:rPr>
            <m:sty m:val="p"/>
          </m:rPr>
          <m:t>,</m:t>
        </m:r>
        <m:r>
          <m:t>a</m:t>
        </m:r>
        <m:r>
          <m:t>d</m:t>
        </m:r>
        <m:r>
          <m:t>i</m:t>
        </m:r>
        <m:r>
          <m:t>t</m:t>
        </m:r>
        <m:r>
          <m:t>i</m:t>
        </m:r>
        <m:r>
          <m:t>v</m:t>
        </m:r>
        <m:r>
          <m:t>o</m:t>
        </m:r>
        <m:r>
          <m:rPr>
            <m:sty m:val="p"/>
          </m:rPr>
          <m:t>,</m:t>
        </m:r>
        <m:r>
          <m:t>e</m:t>
        </m:r>
        <m:r>
          <m:t>n</m:t>
        </m:r>
        <m:r>
          <m:t>e</m:t>
        </m:r>
        <m:r>
          <m:t>r</m:t>
        </m:r>
        <m:r>
          <m:t>g</m:t>
        </m:r>
        <m:r>
          <m:t>i</m:t>
        </m:r>
        <m:r>
          <m:t>a</m:t>
        </m:r>
        <m:r>
          <m:t>d</m:t>
        </m:r>
        <m:r>
          <m:t>e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t>o</m:t>
        </m:r>
        <m:r>
          <m:rPr>
            <m:sty m:val="p"/>
          </m:rPr>
          <m:t>,</m:t>
        </m:r>
        <m:r>
          <m:t>d</m:t>
        </m:r>
        <m:r>
          <m:t>i</m:t>
        </m:r>
        <m:r>
          <m:t>e</m:t>
        </m:r>
        <m:r>
          <m:t>s</m:t>
        </m:r>
        <m:r>
          <m:t>e</m:t>
        </m:r>
        <m:r>
          <m:t>l</m:t>
        </m:r>
        <m:r>
          <m:rPr>
            <m:sty m:val="p"/>
          </m:rPr>
          <m:t>,</m:t>
        </m:r>
        <m:r>
          <m:t>m</m:t>
        </m:r>
        <m:r>
          <m:t>a</m:t>
        </m:r>
        <m:r>
          <m:t>n</m:t>
        </m:r>
        <m:r>
          <m:t>u</m:t>
        </m:r>
        <m:r>
          <m:t>t</m:t>
        </m:r>
        <m:r>
          <m:t>e</m:t>
        </m:r>
        <m:r>
          <m:t>n</m:t>
        </m:r>
        <m:r>
          <m:t>ç</m:t>
        </m:r>
        <m:r>
          <m:t>ã</m:t>
        </m:r>
        <m:r>
          <m:t>o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  <m:r>
          <m:t>d</m:t>
        </m:r>
        <m:r>
          <m:t>e</m:t>
        </m:r>
        <m:r>
          <m:t>s</m:t>
        </m:r>
        <m:r>
          <m:t>e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m</m:t>
        </m:r>
        <m:r>
          <m:t>ã</m:t>
        </m:r>
        <m:r>
          <m:t>o</m:t>
        </m:r>
        <m:r>
          <m:t>d</m:t>
        </m:r>
        <m:r>
          <m:t>e</m:t>
        </m:r>
        <m:r>
          <m:t>o</m:t>
        </m:r>
        <m:r>
          <m:t>b</m:t>
        </m:r>
        <m:r>
          <m:t>r</m:t>
        </m:r>
        <m:r>
          <m:t>a</m:t>
        </m:r>
        <m:r>
          <m:t>d</m:t>
        </m:r>
        <m:r>
          <m:t>i</m:t>
        </m:r>
        <m:r>
          <m:t>r</m:t>
        </m:r>
        <m:r>
          <m:t>e</m:t>
        </m:r>
        <m:r>
          <m:t>t</m:t>
        </m:r>
        <m:r>
          <m:t>a</m:t>
        </m:r>
        <m:r>
          <m:t>r</m:t>
        </m:r>
        <m:r>
          <m:t>a</m:t>
        </m:r>
        <m:r>
          <m:t>t</m:t>
        </m:r>
        <m:r>
          <m:t>e</m:t>
        </m:r>
        <m:r>
          <m:t>a</m:t>
        </m:r>
        <m:r>
          <m:t>d</m:t>
        </m:r>
        <m:r>
          <m:t>a</m:t>
        </m:r>
        <m:r>
          <m:t>p</m:t>
        </m:r>
        <m:r>
          <m:t>o</m:t>
        </m:r>
        <m:r>
          <m:t>r</m:t>
        </m:r>
        <m:r>
          <m:t>p</m:t>
        </m:r>
        <m:r>
          <m:t>e</m:t>
        </m:r>
        <m:r>
          <m:t>ç</m:t>
        </m:r>
        <m:r>
          <m:t>a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R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0,21/bloco 14). A MO direta foi alocada em G31, e não nos indicadores percentuais, porque em vibroprensagem automática ela é custo de transformação diretamente proporcional ao volume produzido; a alocação por percentual sujeitaria o custo variável ao multiplicador de despesas da planilha, distorcendo a margem por unidade. Total no ano de estabilização:</w:t>
      </w:r>
      <w:r>
        <w:rPr>
          <w:bCs/>
          <w:b/>
        </w:rPr>
        <w:t xml:space="preserve"> </w:t>
      </w:r>
      <w:r>
        <w:t xml:space="preserve">R$ 2.361.193 (49,28% da receita)**, com composição unitária aberta na aba G31; anos 1–2 proporcionais ao volume.</w:t>
      </w:r>
    </w:p>
    <w:p>
      <w:pPr>
        <w:pStyle w:val="BodyText"/>
      </w:pPr>
      <w:r>
        <w:rPr>
          <w:bCs/>
          <w:b/>
        </w:rPr>
        <w:t xml:space="preserve">Indicadores (%):</w:t>
      </w:r>
      <w:r>
        <w:t xml:space="preserve"> </w:t>
      </w:r>
      <w:r>
        <w:t xml:space="preserve">frete/comercial embutido de 4,5% e despesas fixas desembolsáveis de 13,03% da receita de estabilização (administração, pró-labore técnico, laboratório/responsável técnico, seguros, vigilância, comercial e manutenção predial — decomposição no §13.3 do estudo).</w:t>
      </w:r>
    </w:p>
    <w:p>
      <w:pPr>
        <w:pStyle w:val="BodyText"/>
      </w:pPr>
      <w:r>
        <w:rPr>
          <w:bCs/>
          <w:b/>
        </w:rPr>
        <w:t xml:space="preserve">Depreciação e encargos financeiros:</w:t>
      </w:r>
      <w:r>
        <w:t xml:space="preserve"> </w:t>
      </w:r>
      <w:r>
        <w:t xml:space="preserve">calculados pela própria planilha do banco (estimativas de conferência na aba</w:t>
      </w:r>
      <w:r>
        <w:t xml:space="preserve"> </w:t>
      </w:r>
      <w:r>
        <w:t xml:space="preserve">“</w:t>
      </w:r>
      <w:r>
        <w:t xml:space="preserve">Conferência</w:t>
      </w:r>
      <w:r>
        <w:t xml:space="preserve">”</w:t>
      </w:r>
      <w:r>
        <w:t xml:space="preserve">).</w:t>
      </w:r>
    </w:p>
    <w:bookmarkEnd w:id="24"/>
    <w:bookmarkStart w:id="25" w:name="tributação"/>
    <w:p>
      <w:pPr>
        <w:pStyle w:val="Heading2"/>
      </w:pPr>
      <w:r>
        <w:t xml:space="preserve">4. Tributação</w:t>
      </w:r>
    </w:p>
    <w:p>
      <w:pPr>
        <w:pStyle w:val="FirstParagraph"/>
      </w:pPr>
      <w:r>
        <w:t xml:space="preserve">O enquadramento declarado é</w:t>
      </w:r>
      <w:r>
        <w:t xml:space="preserve"> </w:t>
      </w:r>
      <w:r>
        <w:rPr>
          <w:bCs/>
          <w:b/>
        </w:rPr>
        <w:t xml:space="preserve">Simples Nacional — Anexo II (indústria)</w:t>
      </w:r>
      <w:r>
        <w:t xml:space="preserve">. A alíquota efetiva projetada vai de ~11,6% no ano 1 (RBT12 ≈ R$ 2,75 milhões) a</w:t>
      </w:r>
      <w:r>
        <w:t xml:space="preserve"> </w:t>
      </w:r>
      <w:r>
        <w:rPr>
          <w:bCs/>
          <w:b/>
        </w:rPr>
        <w:t xml:space="preserve">15,0% no ano de estabilização</w:t>
      </w:r>
      <w:r>
        <w:t xml:space="preserve"> </w:t>
      </w:r>
      <w:r>
        <w:t xml:space="preserve">(topo da faixa: nominal de 30% com parcela a deduzir de R$ 720 mil). A memória adota</w:t>
      </w:r>
      <w:r>
        <w:t xml:space="preserve"> </w:t>
      </w:r>
      <w:r>
        <w:rPr>
          <w:bCs/>
          <w:b/>
        </w:rPr>
        <w:t xml:space="preserve">15% em todos os anos de regime — deliberadamente conservador</w:t>
      </w:r>
      <w:r>
        <w:t xml:space="preserve">. Nota de transparência: o teto de receita mantém o enquadramento EPP em qualquer regime tributário; o comparativo com o Lucro Presumido (potencialmente competitivo dada a folha enxuta da planta automática) permanece como estudo do contador antes do start-up — qualquer otimização apenas melhora os números aqui apresentados.</w:t>
      </w:r>
    </w:p>
    <w:bookmarkEnd w:id="25"/>
    <w:bookmarkStart w:id="26" w:name="usos-e-fontes"/>
    <w:p>
      <w:pPr>
        <w:pStyle w:val="Heading2"/>
      </w:pPr>
      <w:r>
        <w:t xml:space="preserve">5. Usos e Fontes</w:t>
      </w:r>
    </w:p>
    <w:p>
      <w:pPr>
        <w:pStyle w:val="FirstParagraph"/>
      </w:pPr>
      <w:r>
        <w:t xml:space="preserve">Investimento total de</w:t>
      </w:r>
      <w:r>
        <w:t xml:space="preserve"> </w:t>
      </w:r>
      <w:r>
        <w:rPr>
          <w:bCs/>
          <w:b/>
        </w:rPr>
        <w:t xml:space="preserve">R$ 7.378.000</w:t>
      </w:r>
      <w:r>
        <w:t xml:space="preserve"> </w:t>
      </w:r>
      <w:r>
        <w:t xml:space="preserve">(ponto médio das faixas do estudo, todas com fonte): linha industrial contratada, galpão e obras civis, utilidades, bandejas/cura, máquinas de pátio, serviços e capital de giro de R$ 800 mil. Fontes:</w:t>
      </w:r>
      <w:r>
        <w:t xml:space="preserve"> </w:t>
      </w:r>
      <w:r>
        <w:rPr>
          <w:bCs/>
          <w:b/>
        </w:rPr>
        <w:t xml:space="preserve">FNE R$ 4.400.000 (59,6%)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recursos próprios R$ 2.978.000 (40,4%)</w:t>
      </w:r>
      <w:r>
        <w:t xml:space="preserve"> </w:t>
      </w:r>
      <w:r>
        <w:t xml:space="preserve">— dos quais</w:t>
      </w:r>
      <w:r>
        <w:t xml:space="preserve"> </w:t>
      </w:r>
      <w:r>
        <w:rPr>
          <w:bCs/>
          <w:b/>
        </w:rPr>
        <w:t xml:space="preserve">R$ 600.000 já realizados</w:t>
      </w:r>
      <w:r>
        <w:t xml:space="preserve"> </w:t>
      </w:r>
      <w:r>
        <w:t xml:space="preserve">(pagamentos contratuais ao fabricante), demonstrando capacidade e comprometimento dos sócios (capital subscrito de R$ 7,5 milhões). O</w:t>
      </w:r>
      <w:r>
        <w:t xml:space="preserve"> </w:t>
      </w:r>
      <w:r>
        <w:rPr>
          <w:bCs/>
          <w:b/>
        </w:rPr>
        <w:t xml:space="preserve">terreno já pertence à empresa</w:t>
      </w:r>
      <w:r>
        <w:t xml:space="preserve"> </w:t>
      </w:r>
      <w:r>
        <w:t xml:space="preserve">e entra como inversão existente (valor de avaliação a anexar), reforçando patrimônio e lastro de garantia. O cronograma de desembolso está parametrizado na planilha para fechamento com o cliente; a simulação de capacidade de pagamento usou a regra conservadora de aplicação integral no ano 1.</w:t>
      </w:r>
    </w:p>
    <w:bookmarkEnd w:id="26"/>
    <w:bookmarkStart w:id="27" w:name="capacidade-de-pagamento"/>
    <w:p>
      <w:pPr>
        <w:pStyle w:val="Heading2"/>
      </w:pPr>
      <w:r>
        <w:t xml:space="preserve">6. Capacidade de pagamento</w:t>
      </w:r>
    </w:p>
    <w:p>
      <w:pPr>
        <w:pStyle w:val="FirstParagraph"/>
      </w:pPr>
      <w:r>
        <w:t xml:space="preserve">Simulada pelo</w:t>
      </w:r>
      <w:r>
        <w:t xml:space="preserve"> </w:t>
      </w:r>
      <w:r>
        <w:rPr>
          <w:bCs/>
          <w:b/>
        </w:rPr>
        <w:t xml:space="preserve">algoritmo oficial do BNB</w:t>
      </w:r>
      <w:r>
        <w:t xml:space="preserve"> </w:t>
      </w:r>
      <w:r>
        <w:t xml:space="preserve">(motor validado ao centavo contra planilhas reais): com taxa de 8,8945% a.a., 144 meses e carência de 24 meses, o pleito de R$ 4,4 milhões apresenta</w:t>
      </w:r>
      <w:r>
        <w:t xml:space="preserve"> </w:t>
      </w:r>
      <w:r>
        <w:rPr>
          <w:bCs/>
          <w:b/>
        </w:rPr>
        <w:t xml:space="preserve">comprometimento equalizado de 49,1%</w:t>
      </w:r>
      <w:r>
        <w:t xml:space="preserve"> </w:t>
      </w:r>
      <w:r>
        <w:t xml:space="preserve">— dentro da janela de 30–50% — no custo padrão de 76,72% (piso da faixa aplicável). O custo operacional total projetado nesta memória (</w:t>
      </w:r>
      <w:r>
        <w:rPr>
          <w:bCs/>
          <w:b/>
        </w:rPr>
        <w:t xml:space="preserve">81,8% da receita</w:t>
      </w:r>
      <w:r>
        <w:t xml:space="preserve">) situa-se dentro da própria faixa de custo padrão de referência (76,72%–84,39%), o que dá consistência interna entre a projeção e o parâmetro do banco. Caso o enquadramento aplicado seja o teto da faixa, o projeto comporta redimensionamento para ~R$ 3,0 milhões com elevação da contrapartida própria, sem alteração do projeto físico.</w:t>
      </w:r>
    </w:p>
    <w:bookmarkEnd w:id="27"/>
    <w:bookmarkStart w:id="28" w:name="X9f7246032833a311368053290b9d10aaa079722"/>
    <w:p>
      <w:pPr>
        <w:pStyle w:val="Heading2"/>
      </w:pPr>
      <w:r>
        <w:t xml:space="preserve">7. Conservadorismos adotados (lista de auditoria)</w:t>
      </w:r>
    </w:p>
    <w:p>
      <w:pPr>
        <w:numPr>
          <w:ilvl w:val="0"/>
          <w:numId w:val="1001"/>
        </w:numPr>
        <w:pStyle w:val="Compact"/>
      </w:pPr>
      <w:r>
        <w:t xml:space="preserve">Receita limitada ao teto EPP — vende-se menos do que se fabrica (folga de ~35 dias efetivos/ano);</w:t>
      </w:r>
    </w:p>
    <w:p>
      <w:pPr>
        <w:numPr>
          <w:ilvl w:val="0"/>
          <w:numId w:val="1001"/>
        </w:numPr>
        <w:pStyle w:val="Compact"/>
      </w:pPr>
      <w:r>
        <w:t xml:space="preserve">Capacidade medida contra 210 dias efetivos (OEE 76%), não contra o calendário nominal;</w:t>
      </w:r>
    </w:p>
    <w:p>
      <w:pPr>
        <w:numPr>
          <w:ilvl w:val="0"/>
          <w:numId w:val="1001"/>
        </w:numPr>
        <w:pStyle w:val="Compact"/>
      </w:pPr>
      <w:r>
        <w:t xml:space="preserve">Margem de contribuição adotada de 30% contra 31,2% derivada;</w:t>
      </w:r>
    </w:p>
    <w:p>
      <w:pPr>
        <w:numPr>
          <w:ilvl w:val="0"/>
          <w:numId w:val="1001"/>
        </w:numPr>
        <w:pStyle w:val="Compact"/>
      </w:pPr>
      <w:r>
        <w:t xml:space="preserve">DAS de 15% (topo da faixa) aplicado a todos os anos de regime;</w:t>
      </w:r>
    </w:p>
    <w:p>
      <w:pPr>
        <w:numPr>
          <w:ilvl w:val="0"/>
          <w:numId w:val="1001"/>
        </w:numPr>
        <w:pStyle w:val="Compact"/>
      </w:pPr>
      <w:r>
        <w:t xml:space="preserve">Preços de venda 10–25% abaixo da mediana SINAPI-ES;</w:t>
      </w:r>
    </w:p>
    <w:p>
      <w:pPr>
        <w:numPr>
          <w:ilvl w:val="0"/>
          <w:numId w:val="1001"/>
        </w:numPr>
        <w:pStyle w:val="Compact"/>
      </w:pPr>
      <w:r>
        <w:t xml:space="preserve">Consumo de cimento de 1,00 kg/bloco sem computar integralmente a economia de até 15% da vibrocompactação;</w:t>
      </w:r>
    </w:p>
    <w:p>
      <w:pPr>
        <w:numPr>
          <w:ilvl w:val="0"/>
          <w:numId w:val="1001"/>
        </w:numPr>
        <w:pStyle w:val="Compact"/>
      </w:pPr>
      <w:r>
        <w:t xml:space="preserve">Desembolso simulado integral no ano 1 (superestima juros iniciais);</w:t>
      </w:r>
    </w:p>
    <w:p>
      <w:pPr>
        <w:numPr>
          <w:ilvl w:val="0"/>
          <w:numId w:val="1001"/>
        </w:numPr>
        <w:pStyle w:val="Compact"/>
      </w:pPr>
      <w:r>
        <w:t xml:space="preserve">Sem receitas acessórias (fretes cobrados, sobras de pallet, serviços de assentamento) — qualquer uma é upside.</w:t>
      </w:r>
    </w:p>
    <w:bookmarkEnd w:id="28"/>
    <w:bookmarkStart w:id="29" w:name="pendências-declaradas-nenhuma-silenciosa"/>
    <w:p>
      <w:pPr>
        <w:pStyle w:val="Heading2"/>
      </w:pPr>
      <w:r>
        <w:t xml:space="preserve">8. Pendências declaradas (nenhuma silenciosa)</w:t>
      </w:r>
    </w:p>
    <w:p>
      <w:pPr>
        <w:numPr>
          <w:ilvl w:val="0"/>
          <w:numId w:val="1002"/>
        </w:numPr>
        <w:pStyle w:val="Compact"/>
      </w:pPr>
      <w:r>
        <w:t xml:space="preserve">Valor de avaliação do terreno (anexar laudo/matrícula);</w:t>
      </w:r>
    </w:p>
    <w:p>
      <w:pPr>
        <w:numPr>
          <w:ilvl w:val="0"/>
          <w:numId w:val="1002"/>
        </w:numPr>
        <w:pStyle w:val="Compact"/>
      </w:pPr>
      <w:r>
        <w:t xml:space="preserve">Cronograma físico-financeiro de desembolso (parametrizado — fechar com o cliente);</w:t>
      </w:r>
    </w:p>
    <w:p>
      <w:pPr>
        <w:numPr>
          <w:ilvl w:val="0"/>
          <w:numId w:val="1002"/>
        </w:numPr>
        <w:pStyle w:val="Compact"/>
      </w:pPr>
      <w:r>
        <w:t xml:space="preserve">Enquadramento final do custo padrão pelo analista (faixa 76,72–84,39%);</w:t>
      </w:r>
    </w:p>
    <w:p>
      <w:pPr>
        <w:numPr>
          <w:ilvl w:val="0"/>
          <w:numId w:val="1002"/>
        </w:numPr>
        <w:pStyle w:val="Compact"/>
      </w:pPr>
      <w:r>
        <w:t xml:space="preserve">Confirmação do regime tributário com o contador antes do start-up;</w:t>
      </w:r>
    </w:p>
    <w:p>
      <w:pPr>
        <w:numPr>
          <w:ilvl w:val="0"/>
          <w:numId w:val="1002"/>
        </w:numPr>
        <w:pStyle w:val="Compact"/>
      </w:pPr>
      <w:r>
        <w:t xml:space="preserve">Cotações locais de preços e insumos na implantação (contatos mapeados no estudo).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2026-08-16T17:38:57Z</dcterms:created>
  <dcterms:modified xsi:type="dcterms:W3CDTF">2026-08-16T17:38:57Z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