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56291C" w14:textId="77777777" w:rsidR="00326C65" w:rsidRDefault="00000000">
      <w:pPr>
        <w:spacing w:after="120"/>
        <w:jc w:val="center"/>
      </w:pPr>
      <w:r>
        <w:rPr>
          <w:b/>
          <w:bCs/>
          <w:sz w:val="28"/>
          <w:szCs w:val="28"/>
        </w:rPr>
        <w:t>CARTA CONSULTA – PROPOSTA DE NEGOCIAÇÃO</w:t>
      </w:r>
    </w:p>
    <w:p w14:paraId="5473CF72" w14:textId="3555E6C7" w:rsidR="00326C65" w:rsidRDefault="00000000">
      <w:pPr>
        <w:spacing w:after="60"/>
        <w:jc w:val="center"/>
      </w:pPr>
      <w:r>
        <w:rPr>
          <w:i/>
          <w:iCs/>
          <w:color w:val="C00000"/>
          <w:sz w:val="18"/>
          <w:szCs w:val="18"/>
        </w:rPr>
        <w:t>MINUTA PARA A AGÊNCIA —</w:t>
      </w:r>
      <w:r w:rsidR="006C41C6">
        <w:rPr>
          <w:i/>
          <w:iCs/>
          <w:color w:val="C00000"/>
          <w:sz w:val="18"/>
          <w:szCs w:val="18"/>
        </w:rPr>
        <w:t>C</w:t>
      </w:r>
      <w:r>
        <w:rPr>
          <w:i/>
          <w:iCs/>
          <w:color w:val="C00000"/>
          <w:sz w:val="18"/>
          <w:szCs w:val="18"/>
        </w:rPr>
        <w:t>ampos [ENTRE COLCHETES] a preencher/conferir</w:t>
      </w:r>
    </w:p>
    <w:p w14:paraId="30BF458A" w14:textId="77777777" w:rsidR="006C41C6" w:rsidRDefault="006C41C6">
      <w:pPr>
        <w:spacing w:after="60"/>
        <w:rPr>
          <w:b/>
          <w:bCs/>
          <w:sz w:val="24"/>
          <w:szCs w:val="24"/>
        </w:rPr>
      </w:pPr>
    </w:p>
    <w:p w14:paraId="79EA22B3" w14:textId="3B832215" w:rsidR="00326C65" w:rsidRDefault="00000000">
      <w:pPr>
        <w:spacing w:after="60"/>
      </w:pPr>
      <w:r>
        <w:rPr>
          <w:b/>
          <w:bCs/>
          <w:sz w:val="24"/>
          <w:szCs w:val="24"/>
        </w:rPr>
        <w:t>CLIENTE</w:t>
      </w:r>
    </w:p>
    <w:p w14:paraId="26422883" w14:textId="77777777" w:rsidR="00326C65" w:rsidRDefault="00000000">
      <w:pPr>
        <w:spacing w:after="160" w:line="276" w:lineRule="auto"/>
        <w:jc w:val="both"/>
      </w:pPr>
      <w:r>
        <w:rPr>
          <w:b/>
          <w:bCs/>
        </w:rPr>
        <w:t xml:space="preserve">CIPREM – Cimento e </w:t>
      </w:r>
      <w:proofErr w:type="spellStart"/>
      <w:r>
        <w:rPr>
          <w:b/>
          <w:bCs/>
        </w:rPr>
        <w:t>Premoldados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Ltda</w:t>
      </w:r>
      <w:r>
        <w:t xml:space="preserve">  ·</w:t>
      </w:r>
      <w:proofErr w:type="gramEnd"/>
      <w:r>
        <w:t xml:space="preserve">  CNPJ: 05.343.456/0001-78</w:t>
      </w:r>
    </w:p>
    <w:p w14:paraId="5318EA41" w14:textId="77777777" w:rsidR="00326C65" w:rsidRPr="006C41C6" w:rsidRDefault="00000000">
      <w:pPr>
        <w:spacing w:before="320" w:after="200"/>
      </w:pPr>
      <w:r w:rsidRPr="006C41C6">
        <w:rPr>
          <w:b/>
          <w:bCs/>
          <w:sz w:val="26"/>
          <w:szCs w:val="26"/>
        </w:rPr>
        <w:t>1. PERFIL DO PROPONENTE</w:t>
      </w:r>
    </w:p>
    <w:p w14:paraId="7DDF9015" w14:textId="35D26845" w:rsidR="00326C65" w:rsidRDefault="00000000">
      <w:pPr>
        <w:spacing w:after="160" w:line="276" w:lineRule="auto"/>
        <w:jc w:val="both"/>
      </w:pPr>
      <w:r>
        <w:t xml:space="preserve">A CIPREM – Cimento e </w:t>
      </w:r>
      <w:proofErr w:type="spellStart"/>
      <w:r>
        <w:t>Premoldados</w:t>
      </w:r>
      <w:proofErr w:type="spellEnd"/>
      <w:r>
        <w:t xml:space="preserve"> Ltda é sociedade limitada constituída em 09/10/2002, com sede em São Mateus/ES, integrante do grupo empresarial da família Colombi — grupo com </w:t>
      </w:r>
      <w:r>
        <w:rPr>
          <w:color w:val="C00000"/>
        </w:rPr>
        <w:t xml:space="preserve">mais de 20 anos de atuação</w:t>
      </w:r>
      <w:r>
        <w:t xml:space="preserve"> em mineração, britagem e concreto, com operações na Bahia, em Minas Gerais e no Espírito Santo.</w:t>
      </w:r>
      <w:r w:rsidR="006C41C6" w:rsidRPr="006C41C6">
        <w:t/>
      </w:r>
      <w:r w:rsidRPr="006C41C6">
        <w:t/>
      </w:r>
      <w:r>
        <w:t xml:space="preserve"/>
      </w:r>
    </w:p>
    <w:p w14:paraId="04A778FB" w14:textId="546232C6" w:rsidR="00326C65" w:rsidRPr="00C3733B" w:rsidRDefault="00000000">
      <w:pPr>
        <w:spacing w:after="160" w:line="276" w:lineRule="auto"/>
        <w:jc w:val="both"/>
      </w:pPr>
      <w:r>
        <w:t xml:space="preserve">A empresa âncora, Mineração São Vicente Ltda (Itagimirim/BA, fundada em 2004), posiciona-se como a maior e mais tradicional produtora de agregados do Extremo Sul Baiano, </w:t>
      </w:r>
      <w:r w:rsidRPr="00C3733B">
        <w:t xml:space="preserve"/>
      </w:r>
      <w:r>
        <w:rPr>
          <w:color w:val="C00000"/>
        </w:rPr>
        <w:t xml:space="preserve">e opera pedreira histórica da região, aberta na década de 1970 para a construção da BR-101.</w:t>
      </w:r>
      <w:r w:rsidRPr="00C3733B">
        <w:t xml:space="preserve"> </w:t>
      </w:r>
      <w:r w:rsidRPr="00C3733B">
        <w:rPr>
          <w:color w:val="EE0000"/>
        </w:rPr>
        <w:t/>
      </w:r>
      <w:r w:rsidRPr="00C3733B">
        <w:t xml:space="preserve"/>
      </w:r>
      <w:r w:rsidR="00C3733B" w:rsidRPr="00C3733B">
        <w:t>O</w:t>
      </w:r>
      <w:r w:rsidRPr="00C3733B">
        <w:t xml:space="preserve"> grupo reúne 6 empresas ativas e cerca de 16 estabelecimentos em mais de 10 municípios da Bahia e de Minas Gerais — todos em área de atuação do FNE/SUDENE —, em cadeia verticalizada da extração ao concreto usinado </w:t>
      </w:r>
      <w:r w:rsidRPr="00C3733B">
        <w:rPr>
          <w:highlight w:val="yellow"/>
        </w:rPr>
        <w:t>e às obras rodoviárias</w:t>
      </w:r>
      <w:r w:rsidRPr="00C3733B">
        <w:t xml:space="preserve">. O grupo mantém </w:t>
      </w:r>
      <w:r w:rsidR="00C3733B" w:rsidRPr="00C3733B">
        <w:t xml:space="preserve">várias </w:t>
      </w:r>
      <w:r w:rsidRPr="00C3733B">
        <w:t>pedreira</w:t>
      </w:r>
      <w:r w:rsidR="00C3733B" w:rsidRPr="00C3733B">
        <w:t>s</w:t>
      </w:r>
      <w:r w:rsidRPr="00C3733B">
        <w:t xml:space="preserve"> de </w:t>
      </w:r>
      <w:r w:rsidR="00C3733B" w:rsidRPr="00C3733B">
        <w:t>britagem</w:t>
      </w:r>
      <w:r w:rsidRPr="00C3733B">
        <w:t xml:space="preserve"> em plena atividade com o mesmo processo produtivo e o mesmo portfólio de produtos do empreendimento proposto.</w:t>
      </w:r>
    </w:p>
    <w:p w14:paraId="27D8F8B2" w14:textId="46C4FA7F" w:rsidR="00326C65" w:rsidRPr="00C3733B" w:rsidRDefault="00000000">
      <w:pPr>
        <w:spacing w:after="160" w:line="276" w:lineRule="auto"/>
        <w:jc w:val="both"/>
      </w:pPr>
      <w:r w:rsidRPr="00C3733B">
        <w:t xml:space="preserve">As unidades de britagem do grupo operam com britadores METSO e laboratório próprio de controle tecnológico — exatamente a tecnologia especificada no projeto da CIPREM (britadores Metso C117 e HP350e). Essa experiência em atividade idêntica à do projeto evidencia a capacidade técnica e gerencial do grupo e reduz os riscos de implantação e de </w:t>
      </w:r>
      <w:r w:rsidR="00C3733B" w:rsidRPr="00C3733B">
        <w:t>maturação</w:t>
      </w:r>
      <w:r w:rsidRPr="00C3733B">
        <w:t xml:space="preserve"> do empreendimento.</w:t>
      </w:r>
    </w:p>
    <w:p w14:paraId="49C99164" w14:textId="77777777" w:rsidR="00326C65" w:rsidRPr="00C3733B" w:rsidRDefault="00000000">
      <w:pPr>
        <w:spacing w:before="320" w:after="200"/>
      </w:pPr>
      <w:r w:rsidRPr="00C3733B">
        <w:rPr>
          <w:b/>
          <w:bCs/>
          <w:sz w:val="26"/>
          <w:szCs w:val="26"/>
        </w:rPr>
        <w:t>2. PROPOSIÇÃO</w:t>
      </w:r>
    </w:p>
    <w:p w14:paraId="54DB832B" w14:textId="074203B7" w:rsidR="00326C65" w:rsidRDefault="00000000">
      <w:pPr>
        <w:spacing w:after="160" w:line="276" w:lineRule="auto"/>
        <w:jc w:val="both"/>
      </w:pPr>
      <w:r>
        <w:t xml:space="preserve">A presente proposta tem por objeto a contratação de financiamento junto ao Fundo Constitucional de Financiamento do Nordeste (FNE) destinado à implantação de pedreira de granito com planta de britagem para produção de agregados </w:t>
      </w:r>
      <w:r w:rsidRPr="00C3733B">
        <w:t>(</w:t>
      </w:r>
      <w:r w:rsidR="00C3733B" w:rsidRPr="00C3733B">
        <w:t>B</w:t>
      </w:r>
      <w:r w:rsidRPr="00C3733B">
        <w:t xml:space="preserve">rita 0,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1,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2, </w:t>
      </w:r>
      <w:proofErr w:type="spellStart"/>
      <w:r w:rsidR="00C3733B" w:rsidRPr="00C3733B">
        <w:t>G</w:t>
      </w:r>
      <w:r w:rsidRPr="00C3733B">
        <w:t>ravilinha</w:t>
      </w:r>
      <w:proofErr w:type="spellEnd"/>
      <w:r w:rsidRPr="00C3733B">
        <w:t xml:space="preserve">, </w:t>
      </w:r>
      <w:r w:rsidR="00C3733B" w:rsidRPr="00C3733B">
        <w:t>P</w:t>
      </w:r>
      <w:r w:rsidRPr="00C3733B">
        <w:t>ó de pedra e BGS/</w:t>
      </w:r>
      <w:r w:rsidR="00C3733B" w:rsidRPr="00C3733B">
        <w:t>S</w:t>
      </w:r>
      <w:r w:rsidRPr="00C3733B">
        <w:t>olo-brita), no distrito de Nestor Gome</w:t>
      </w:r>
      <w:r>
        <w:t>s, município de São Mateus/ES.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empreendimento compreende planta de britagem de 170–180 toneladas/hora — britadores Metso (mandíbulas C117 e cônico HP350e) — com produção estimada crescente: de ~3.500 m³/mês de produto no 1º ano de operação até ~13.200 m³/mês a partir do 3º ano, amparado pelo Registro de Licença ANM nº 8/2021 (validade até 31/08/2029) e pela Licença de Instalação IEMA nº 000478/2025-D (válida até 16/10/2029).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platô de regime corresponde a 7.200 m³ in situ/mês — 19.793 t/mês ou 237.516 t/ano pela densidade de 2,749 t/m³ do PAE —, equivalentes a 90% do volume licenciado e a 40% da capacidade instalada declarada no PAE (50.000 t/mês). Mesmo se a licença fosse integralmente esgotada, a planta operaria a 44% do que comporta: o limite do empreendimento é legal, não mecânico, e nenhum cenário deste pleito prevê produção acima do volume licenciado. Essa folga tem função operacional definida — como a licença limita o volume do mês e não o ritmo do dia, os dias de lavra perdidos para chuva são recompostos estendendo a jornada nos dias restantes, sem alterar o volume mensal. Como referência de exequibilidade, o platô proposto está 0,5% acima das 236.280 t de rocha que a unidade do grupo em Porto Seguro/BA desmontou em 2025.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 investimento total do projeto é de R$ 25.568.924,08, assim distribuído: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Infraestrutura e obras civis — terraplenagem, acessos, edificações, balança rodoviária, subestação de energia e drenagem: R$ 3.650.000,00;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Planta de britagem — alimentador, britadores primário e secundário, peneiras e correias transportadoras: R$ 6.504.690,97;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Máquinas de lavra (linha amarela) — perfuratriz, escavadeiras, pás carregadeiras e caminhões basculantes: R$ 7.526.000,00;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Transportes — carretas de entrega, ônibus de funcionários, caminhão-pipa e utilitários: R$ 3.207.319,90;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Capital de giro associado — inclui o programa de segurança e saúde ocupacional (EPIs e treinamentos, NR-22): R$ 4.680.913,21.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Do total, R$ 20.888.010,87 (82%) correspondem a investimento fixo e R$ 4.680.913,21 (18%) a capital de giro associado — proporção compatível com a fase de implantação e maturação do empreendimento.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estrutura financeira proposta é composta por: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rPr>
          <w:color w:val="C00000"/>
        </w:rPr>
        <w:t xml:space="preserve">Financiamento FNE: até R$ 24.290.477,88, correspondente a 95% do investimento;</w:t>
      </w:r>
      <w:r>
        <w:rPr>
          <w:color w:val="C00000"/>
        </w:rPr>
        <w:t xml:space="preserve"/>
      </w:r>
    </w:p>
    <w:p w14:paraId="2E0C77A7" w14:textId="0577CB48" w:rsidR="00C3733B" w:rsidRPr="00C3733B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t>Contrapartida própria: R$ 1.278.446,20, equivalente a 5% do investimento total</w:t>
      </w:r>
      <w:r w:rsidR="00C3733B" w:rsidRPr="00C3733B">
        <w:t>.</w:t>
      </w:r>
      <w:r w:rsidR="00C3733B" w:rsidRPr="00C3733B">
        <w:br/>
      </w:r>
      <w:r w:rsidR="00C3733B">
        <w:rPr>
          <w:color w:val="EE0000"/>
        </w:rPr>
        <w:br/>
      </w:r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 xml:space="preserve"/>
      </w:r>
      <w:proofErr w:type="gramStart"/>
      <w:r w:rsidR="00C3733B">
        <w:rPr>
          <w:color w:val="C00000"/>
        </w:rPr>
        <w:t/>
      </w:r>
      <w:proofErr w:type="gramEnd"/>
      <w:r w:rsidR="00C3733B">
        <w:rPr>
          <w:color w:val="C00000"/>
        </w:rPr>
        <w:t xml:space="preserve"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/>
      </w:r>
      <w:r w:rsidR="00C3733B">
        <w:rPr>
          <w:color w:val="C00000"/>
        </w:rPr>
        <w:t xml:space="preserve"/>
      </w:r>
      <w:r w:rsidR="00C3733B" w:rsidRPr="00C3733B">
        <w:rPr>
          <w:color w:val="C00000"/>
        </w:rPr>
        <w:t xml:space="preserve"/>
      </w:r>
      <w:r w:rsidR="00C3733B" w:rsidRPr="00C3733B">
        <w:rPr>
          <w:color w:val="C00000"/>
        </w:rPr>
        <w:lastRenderedPageBreak/>
        <w:t/>
      </w:r>
      <w:proofErr w:type="gramStart"/>
      <w:r w:rsidR="00C3733B" w:rsidRPr="00C3733B">
        <w:rPr>
          <w:color w:val="C00000"/>
        </w:rPr>
        <w:t/>
      </w:r>
      <w:proofErr w:type="gramEnd"/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 w:rsidR="00C3733B" w:rsidRPr="00C3733B">
        <w:rPr>
          <w:color w:val="C00000"/>
        </w:rPr>
        <w:t xml:space="preserve"/>
      </w:r>
    </w:p>
    <w:p w14:paraId="3AE6E5FD" w14:textId="77777777" w:rsidR="00C3733B" w:rsidRPr="00C3733B" w:rsidRDefault="00C3733B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</w:p>
    <w:p w14:paraId="3321F7D0" w14:textId="2F5715AA" w:rsidR="00326C65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/>
      </w:r>
      <w:r>
        <w:rPr>
          <w:color w:val="C00000"/>
        </w:rPr>
        <w:t xml:space="preserve">A estrutura proposta observa integralmente os critérios da Programação FNE vigente: São Mateus/ES é município de média renda (tipologia PNDR — Anexo D do Decreto 11.962/2024), integrante dos espaços prioritários da Programação. Pela receita operacional anual estabilizada projetada de R$ 17,45 milhões, a empresa enquadra-se no porte Médio I, sendo o empreendimento financiável em até 95% do investimento, mediante contrapartida mínima de 5% de recursos próprios.</w:t>
      </w:r>
      <w:r>
        <w:rPr>
          <w:b/>
          <w:bCs/>
          <w:color w:val="C00000"/>
        </w:rPr>
        <w:t/>
      </w:r>
      <w:r>
        <w:rPr>
          <w:color w:val="C00000"/>
        </w:rPr>
        <w:t/>
      </w:r>
    </w:p>
    <w:p w14:paraId="392CC772" w14:textId="77777777" w:rsidR="00326C65" w:rsidRDefault="00000000">
      <w:pPr>
        <w:spacing w:after="160" w:line="276" w:lineRule="auto"/>
        <w:jc w:val="both"/>
      </w:pPr>
      <w:r w:rsidRPr="00C3733B">
        <w:rPr>
          <w:color w:val="C00000"/>
          <w:highlight w:val="yellow"/>
        </w:rPr>
        <w:t>Pleiteia-se prazo total de 14 anos, sendo 2 anos de carência e 12 de amortização,</w:t>
      </w:r>
      <w:r>
        <w:rPr>
          <w:color w:val="C00000"/>
        </w:rPr>
        <w:t xml:space="preserve"> com enquadramento na condição de prazo do FNE para empresas administradas por mulher (principal dirigente: Rebeca Colombi Taylor).</w:t>
      </w:r>
    </w:p>
    <w:p w14:paraId="05EC34F0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Ressalta-se que os sócios já realizaram, com recursos próprios, os investimentos preparatórios: </w:t>
      </w:r>
      <w:r w:rsidRPr="00C3733B">
        <w:rPr>
          <w:color w:val="C00000"/>
          <w:highlight w:val="yellow"/>
        </w:rPr>
        <w:t>aquisição do terreno de apoio (2019),</w:t>
      </w:r>
      <w:r>
        <w:rPr>
          <w:color w:val="C00000"/>
        </w:rPr>
        <w:t xml:space="preserve"> contratação da servidão minerária da área de lavra e obtenção do Registro de Licença ANM e das licenças ambientais (LP e LI) — comprometimento financeiro efetivo que reduz os riscos da fase de implantação.</w:t>
      </w:r>
    </w:p>
    <w:p w14:paraId="51B78A77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Estima-se a geração de cerca de 30 empregos diretos na operação, além dos empregos temporários da implantação.</w:t>
      </w:r>
    </w:p>
    <w:p w14:paraId="0947E8AD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Como garantia principal será apresentada alienação fiduciária de imóveis, com cobertura mínima de 110% do valor financiado, </w:t>
      </w:r>
      <w:r>
        <w:rPr>
          <w:color w:val="C00000"/>
        </w:rPr>
        <w:t xml:space="preserve">complementada por aval dos sócios (seção 7).</w:t>
      </w:r>
    </w:p>
    <w:p w14:paraId="26B5E87A" w14:textId="77777777" w:rsidR="00326C65" w:rsidRDefault="00000000">
      <w:pPr>
        <w:spacing w:after="160" w:line="276" w:lineRule="auto"/>
        <w:jc w:val="both"/>
      </w:pPr>
      <w:r>
        <w:t xml:space="preserve">A operação enquadra-se na linha FNE Industrial (extração e britamento de pedras — CNAE 08.10-0/99). </w:t>
      </w:r>
      <w:r w:rsidRPr="00C3733B">
        <w:rPr>
          <w:color w:val="C00000"/>
          <w:highlight w:val="yellow"/>
        </w:rPr>
        <w:t>A viabilidade mercadológica é objeto do Estudo de Mercado anexo, resumido na seção 3.</w:t>
      </w:r>
    </w:p>
    <w:p w14:paraId="2BA44991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3. JUSTIFICATIVA DO EMPREENDIMENTO</w:t>
      </w:r>
    </w:p>
    <w:p w14:paraId="58A710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Os fundamentos mercadológicos do empreendimento estão detalhados no Estudo de Mercado anexo (Projet Consultoria, jun/2026), cujos principais resultados — atualizados em agosto/2026 — são resumidos a seguir.</w:t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 w14:paraId="1C3D3DA1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São Mateus é o município mais populoso do norte do Espírito Santo (134,4 mil habitantes — IBGE, estimativa 2025; 8º do Estado) e polo regional de comércio e serviços. O mercado-base do empreendimento — definido pelo raio econômico do frete e pela posição real dos concorrentes, conforme o Estudo de Mercado anexo — é deliberadamente conservador: restringe-se a São Mateus e Conceição da Barra (~162 mil habitantes — IBGE, estimativa 2025 e Censo 2022), municípios onde não há nenhum produtor de brita instalado. A demanda corrente nesse mercado-base é estimada entre 235 e 275 mil t/ano: na sede (215–230 mil t/ano), pelo consumo efetivo de brita no Espírito Santo apurado nas vendas declaradas à ANM (RAL), de 1,6–1,7 t/hab/ano em 2024–2025, convergente com o parâmetro setorial da ANEPAC; em Conceição da Barra, aplicada, por conservadorismo, metade do índice estadual. As praças vizinhas de Jaguaré e Boa Esperança (~46 mil habitantes; 36–78 mil t/ano) foram mantidas fora da linha de base — a primeira por ter um pequeno produtor instalado, a segunda por gravitar comercialmente para Nova Venécia — e permanecem, com Pedro Canário e a franja norte do Estado (Montanha, Mucurici e Ponto Belo, ~53 mil habitantes sem nenhum produtor de brita instalado), como potencial adicional de captura, não contado nas projeções.</w:t>
      </w:r>
      <w:proofErr w:type="spellStart"/>
      <w:r>
        <w:rPr>
          <w:color w:val="C00000"/>
        </w:rPr>
      </w:r>
      <w:proofErr w:type="spellEnd"/>
      <w:r>
        <w:rPr>
          <w:color w:val="C00000"/>
        </w:rPr>
      </w:r>
    </w:p>
    <w:p w14:paraId="74720E32" w14:textId="77777777" w:rsidR="00326C65" w:rsidRDefault="00000000">
      <w:pPr>
        <w:spacing w:after="160" w:line="276" w:lineRule="auto"/>
        <w:jc w:val="both"/>
      </w:pPr>
      <w:r>
        <w:t>A oferta instalada confirma a lacuna: não há nenhum produtor de brita no mercado-base — em São Mateus, a presença concorrente limita-se a um pátio de beneficiamento e distribuição de pedreira sediada em Pinheiros (~70 km), e a operação mais próxima, de pequena escala (~5 mil t em 2025 pela base de arrecadação da CFEM — ANM, granito/ES), fica em Jaguaré (~40 km da sede), fora do mercado-base. Cabe distinguir duas funções que os documentos anteriores tratavam como uma só: essa operação de Jaguaré é concorrente de preço — está 5 km mais longe da sede que a CIPREM, margem de R$ 4,5/t — mas vendeu menos de um quinto da demanda do próprio município onde se instala, e não tem escala para disputar volume. Quem limita volume é a pedreira de Nova Venécia, a ~62 km, contra a qual a vantagem de frete da CIPREM é de R$ 24,6 por tonelada — da ordem de um quarto do preço posto na obra. Os demais produtores de porte operam mais longe ainda: o maior da região a ~100 km (unidade em Rio Bananal, ~360 mil t/ano) e parte do suprimento vindo do eixo Linhares–Aracruz (85–140 km). A jazida da CIPREM está a ~35 km da sede de São Mateus, e o corredor de Nestor Gomes que a serve fica a 10 km ou menos, onde a vantagem chega a R$ 31,9/t: em um produto cujo preço posto na obra é dominado pelo frete, é vantagem competitiva estrutural no maior polo de demanda da região — a operação substitui suprimento de longa distância por produção local.</w:t>
      </w:r>
    </w:p>
    <w:p w14:paraId="569783A8" w14:textId="77777777" w:rsidR="00326C65" w:rsidRDefault="00000000">
      <w:pPr>
        <w:spacing w:after="160" w:line="276" w:lineRule="auto"/>
        <w:jc w:val="both"/>
      </w:pPr>
      <w:r w:rsidRPr="00C3733B">
        <w:rPr>
          <w:highlight w:val="green"/>
          <w:color w:val="C00000"/>
        </w:rPr>
        <w:t>O município vive um ciclo de investimentos públicos sem precedente na sua série histórica — da ordem de R$ 950 milhões em obras já em execução ou contratação, dentro de um programa que o Governo do Estado anuncia em ~R$ 1 bilhão só para Guriri, em três fases: a macrodrenagem e pavimentação do balneário — Bacia 2 em obra (R$ 306,5 milhões, conclusão prevista para 2028), Bacia 1 com edital publicado em março/2026 (R$ 321,8 milhões, 13,5 km de galerias e ~125 mil m² de pavimentação) e Bacia 3 a licitar —, o Contorno de São Mateus/ES-318 em execução (R$ 190,2 milhões, 24,6 km e três pontes), a duplicação da ES-315 e a antecipação, pela concessionária Ecovias Capixaba, das terceiras faixas da BR-101 no trecho norte (21,6 km atravessando São Mateus, com início previsto para setembro/2026 e entregas até dezembro/2027, de 41 km planejados). Essas frentes adicionam 70–100 mil t/ano de demanda de brita durante a janela de obras — e destravam um potencial estrutural maior: a malha planejada de Guriri (11 avenidas e 31 ruas ao longo de ~8 km) permanece majoritariamente sem pavimentação definitiva, e sua pavimentação completa, viabilizada justamente pela macrodrenagem em curso, representa da ordem de 1 milhão de m² de vias — acima de 1 milhão de toneladas de agregados ao longo dos próximos anos, das quais as projeções contabilizam, conservadoramente, apenas 75–90 mil t.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  <w:r w:rsidRPr="00C3733B">
        <w:rPr>
          <w:color w:val="C00000"/>
          <w:highlight w:val="green"/>
        </w:rPr>
        <w:lastRenderedPageBreak/>
        <w:t/>
      </w:r>
    </w:p>
    <w:p w14:paraId="0DA2A8AA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brita; a fabricação própria de artefatos (CNAE 23.30-3/02, presente no objeto social) é opção futura, não contemplada neste projeto. A Prefeitura — receita realizada de R$ 696,7 milhões em 2024 e nota máxima de capacidade de pagamento (CAPAG “A”) pelo Tesouro Nacional — é compradora direta para pavimentação em blocos, meios-fios e drenagem.</w:t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/>
      </w:r>
    </w:p>
    <w:p w14:paraId="342D3310" w14:textId="77777777" w:rsidR="00326C65" w:rsidRDefault="00000000">
      <w:pPr>
        <w:spacing w:after="160" w:line="276" w:lineRule="auto"/>
        <w:jc w:val="both"/>
      </w:pPr>
      <w:r w:rsidRPr="00C3733B">
        <w:rPr>
          <w:highlight w:val="yellow"/>
          <w:color w:val="C00000"/>
        </w:rPr>
        <w:t xml:space="preserve">Há ainda potencial adicional não contabilizado nas projeções: o Terminal Portuário de Urussuquara (Petrocity), em fase avançada de licenciamento no IBAMA — EIA/Rima com audiência pública em 2023 e documentação complementar para a Licença Prévia entregue em janeiro/2025 —, demandaria enrocamento e concreto em volume de outra ordem de grandeza caso as obras se confirmem.</w:t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>
      <w:pPr>
        <w:spacing w:after="160"/>
        <w:jc w:val="both"/>
      </w:pPr>
      <w:r>
        <w:t>Em síntese: sob a definição mais conservadora de mercado — linha de base restrita a São Mateus e Conceição da Barra —, a demanda corrente de 235 a 275 mil t/ano já supera o platô do projeto. A leitura correta da participação, porém, não é contra essa linha de base e sim contra o mercado efetivamente endereçável, que soma às duas praças-base as praças disputadas de Jaguaré e Boa Esperança (36–78 mil t/ano), as praças alcançáveis por entrega própria em Nova Venécia e Pinheiros (62–131 mil t/ano) e as obras públicas catalogadas (70–100 mil t/ano): 405 a 584 mil t/ano. Contra essa base, o platô de 237.516 t/ano representa 41 a 59% — participação compatível com um entrante que é o único produtor instalado no seu mercado-base. Pela via de baixo para cima, aplicando pesos de penetração praça a praça — 65% em São Mateus, 25% em Conceição da Barra, 20% em Jaguaré, 15% em Boa Esperança, 10% nas praças-sede de concorrente e 60% nas obras públicas —, a captura resulta em 200 a 248 mil t/ano, faixa na qual o platô se posiciona a 79%. Registre-se com clareza a condição dessa conta: a sede sozinha não sustenta o platô, e a diferença vem das praças vizinhas, onde a CIPREM perde no frete FOB e só entra entregando com frota própria — programa já orçado no investimento (dois conjuntos de carreta) e praticado pela unidade do grupo na Bahia, que converte R$ 74/t na porteira em R$ 116/t médios realizados. Um mercado estruturalmente deficitário — sem nenhum produtor instalado na base, com o grosso do suprimento viajando 60 a 140 km — completa um quadro de baixo risco de demanda para o financiamento pleiteado.</w:t>
      </w:r>
    </w:p>
    <w:p w14:paraId="450CB43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 w14:paraId="136AA62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4. A EMPRESA</w:t>
      </w:r>
    </w:p>
    <w:p w14:paraId="7D750FE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CIPREM – Cimento e </w:t>
      </w:r>
      <w:proofErr w:type="spellStart"/>
      <w:r>
        <w:rPr>
          <w:color w:val="C00000"/>
        </w:rPr>
        <w:t>Premoldados</w:t>
      </w:r>
      <w:proofErr w:type="spellEnd"/>
      <w:r>
        <w:rPr>
          <w:color w:val="C00000"/>
        </w:rPr>
        <w:t xml:space="preserve"> Ltda foi constituída em 09/10/2002, sob a forma de Sociedade Empresária Limitada, com sede na Rodovia Miguel Curry Carneiro, distrito de Nestor Gomes, São Mateus/ES, tendo por objeto a extração e britamento de pedras (CNAE 08.10-0/99) e a fabricação de artefatos de cimento (CNAE 23.30-3/02).</w:t>
      </w:r>
    </w:p>
    <w:p w14:paraId="0EEF82FC" w14:textId="7105CD4B" w:rsidR="00326C65" w:rsidRDefault="00000000">
      <w:pPr>
        <w:spacing w:after="160" w:line="276" w:lineRule="auto"/>
        <w:jc w:val="both"/>
      </w:pPr>
      <w:r>
        <w:t xml:space="preserve">Trata-se de empresa em fase de implantação do empreendimento objeto desta proposta, razão pela qual não possui faturamento operacional recorrente. </w:t>
      </w:r>
      <w:r>
        <w:rPr>
          <w:color w:val="C00000"/>
        </w:rPr>
        <w:t>Para fins de enquadramento da operação, considera-se a receita operacional anual estabilizada projetada de R$ 17,45 milhões</w:t>
      </w:r>
      <w:r w:rsidR="00C3733B">
        <w:rPr>
          <w:color w:val="C00000"/>
        </w:rPr>
        <w:t>.</w:t>
      </w:r>
    </w:p>
    <w:p w14:paraId="1580B945" w14:textId="77777777" w:rsidR="00326C65" w:rsidRDefault="00000000">
      <w:pPr>
        <w:spacing w:after="160" w:line="276" w:lineRule="auto"/>
        <w:jc w:val="both"/>
      </w:pPr>
      <w:r>
        <w:t>Conforme demonstrações de 2025 (ECD/SPED, Livro nº 14): Ativo de R$ 1.039.421,52; Patrimônio Líquido de R$ 1.039.421,52, sustentado por AFAC dos sócios de R$ 1.104.536,16 (empresa pré-operacional, sem BP/DRE de 2023/2024). O capital social integralizado é de R$ 193.780,00, distribuído igualmente entre os sócios:</w:t>
      </w:r>
    </w:p>
    <w:p w14:paraId="065036A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Rebeca Colombi Taylor — 25,0% </w:t>
      </w:r>
      <w:r>
        <w:rPr>
          <w:color w:val="C00000"/>
        </w:rPr>
        <w:t>[CPF A PREENCHER]</w:t>
      </w:r>
    </w:p>
    <w:p w14:paraId="4E4C788F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Sarita Colombi </w:t>
      </w:r>
      <w:proofErr w:type="spellStart"/>
      <w:r>
        <w:t>Morelato</w:t>
      </w:r>
      <w:proofErr w:type="spellEnd"/>
      <w:r>
        <w:t xml:space="preserve"> — 25,0% </w:t>
      </w:r>
      <w:r>
        <w:rPr>
          <w:color w:val="C00000"/>
        </w:rPr>
        <w:t>[CPF A PREENCHER]</w:t>
      </w:r>
    </w:p>
    <w:p w14:paraId="66B9D70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Hugo Bassetti Colombi — 25,0% </w:t>
      </w:r>
      <w:r>
        <w:rPr>
          <w:color w:val="C00000"/>
        </w:rPr>
        <w:t>[CPF A PREENCHER]</w:t>
      </w:r>
    </w:p>
    <w:p w14:paraId="027AC93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lang w:val="en-US"/>
        </w:rPr>
      </w:pPr>
      <w:r w:rsidRPr="00C3733B">
        <w:rPr>
          <w:lang w:val="en-US"/>
        </w:rPr>
        <w:t xml:space="preserve">Ramon Filipe Colombi — 25,0% </w:t>
      </w:r>
      <w:r w:rsidRPr="00C3733B">
        <w:rPr>
          <w:color w:val="C00000"/>
          <w:lang w:val="en-US"/>
        </w:rPr>
        <w:t>[CPF A PREENCHER]</w:t>
      </w:r>
    </w:p>
    <w:p w14:paraId="3B84FF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empresa é titular da conta corrente nº [</w:t>
      </w:r>
      <w:r>
        <w:rPr>
          <w:b/>
          <w:bCs/>
          <w:color w:val="C00000"/>
        </w:rPr>
        <w:t>A PREENCHER</w:t>
      </w:r>
      <w:r>
        <w:rPr>
          <w:color w:val="C00000"/>
        </w:rPr>
        <w:t>] junto ao Banco do Nordeste, agência de São Mateus/ES.</w:t>
      </w:r>
    </w:p>
    <w:p w14:paraId="7841C2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Quanto à regularidade da ocupação do imóvel do empreendimento: a área de lavra é utilizada mediante contrato de servidão minerária firmado em 2019 com o proprietário (família </w:t>
      </w:r>
      <w:proofErr w:type="spellStart"/>
      <w:r>
        <w:rPr>
          <w:color w:val="C00000"/>
        </w:rPr>
        <w:t>Caffeu</w:t>
      </w:r>
      <w:proofErr w:type="spellEnd"/>
      <w:r>
        <w:rPr>
          <w:color w:val="C00000"/>
        </w:rPr>
        <w:t xml:space="preserve">), </w:t>
      </w:r>
      <w:r w:rsidRPr="00C3733B">
        <w:rPr>
          <w:color w:val="C00000"/>
          <w:highlight w:val="green"/>
        </w:rPr>
        <w:t>e o terreno de apoio (96.800 m², matrícula nº 8.933 do CRI local) é de propriedade da empresa,</w:t>
      </w:r>
      <w:r>
        <w:rPr>
          <w:color w:val="C00000"/>
        </w:rPr>
        <w:t xml:space="preserve"> </w:t>
      </w:r>
      <w:r w:rsidRPr="00C3733B">
        <w:rPr>
          <w:color w:val="C00000"/>
          <w:highlight w:val="green"/>
        </w:rPr>
        <w:lastRenderedPageBreak/>
        <w:t>adquirido em 2019 — não tendo sido identificadas restrições quanto à posse ou utilização das áreas.</w:t>
      </w:r>
    </w:p>
    <w:p w14:paraId="0DDBF17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Registra-se, ainda, que os sócios e avalistas da operação não possuem vínculo de parentesco com empregados do Banco do Nordeste participantes do processo decisório, inexistindo conflito de interesses sob esse aspecto.</w:t>
      </w:r>
    </w:p>
    <w:p w14:paraId="49CA5F55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5. GRUPO ECONÔMICO</w:t>
      </w:r>
    </w:p>
    <w:p w14:paraId="73B80D34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proponente integra o grupo empresarial da família Colombi (autodenominado "Grupo SV") [</w:t>
      </w:r>
      <w:r>
        <w:rPr>
          <w:b/>
          <w:bCs/>
          <w:color w:val="C00000"/>
        </w:rPr>
        <w:t>Nº DO GRUPO NO CADASTRO BNB — A PREENCHER</w:t>
      </w:r>
      <w:r>
        <w:rPr>
          <w:color w:val="C00000"/>
        </w:rPr>
        <w:t xml:space="preserve">], composto pelas seguintes pessoas jurídicas ativas, conforme registros públicos da Receita Federal (consulta em </w:t>
      </w:r>
      <w:proofErr w:type="spellStart"/>
      <w:r>
        <w:rPr>
          <w:color w:val="C00000"/>
        </w:rPr>
        <w:t>ago</w:t>
      </w:r>
      <w:proofErr w:type="spellEnd"/>
      <w:r>
        <w:rPr>
          <w:color w:val="C00000"/>
        </w:rPr>
        <w:t>/2026):</w:t>
      </w:r>
    </w:p>
    <w:p w14:paraId="76DF6F1C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(CNPJ 06.537.334/0001-85, 2004) — extração e britagem; matriz em Itagimirim/BA e 6 estabelecimentos, incluindo a Pedreira Vale Verde em Porto Seguro/BA e filial em Salto da Divisa/MG (2025);</w:t>
      </w:r>
    </w:p>
    <w:p w14:paraId="74B682A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(CNPJ 34.772.245/0001-59, 2019) — concreto usinado em 7 praças do litoral sul baiano; a Mineração São Vicente é sócia pessoa jurídica;</w:t>
      </w:r>
    </w:p>
    <w:p w14:paraId="18C00A48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proofErr w:type="spellStart"/>
      <w:r>
        <w:rPr>
          <w:color w:val="C00000"/>
        </w:rPr>
        <w:t>Superbritas</w:t>
      </w:r>
      <w:proofErr w:type="spellEnd"/>
      <w:r>
        <w:rPr>
          <w:color w:val="C00000"/>
        </w:rPr>
        <w:t xml:space="preserve"> Ltda (CNPJ 09.622.478/0001-28, 2008) — extração e britagem em Lauro de Freitas/BA (Região Metropolitana de Salvador), em área superior a 100 hectares;</w:t>
      </w:r>
    </w:p>
    <w:p w14:paraId="1A57212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Pedreira </w:t>
      </w:r>
      <w:proofErr w:type="spellStart"/>
      <w:r>
        <w:rPr>
          <w:color w:val="C00000"/>
        </w:rPr>
        <w:t>Topbritas</w:t>
      </w:r>
      <w:proofErr w:type="spellEnd"/>
      <w:r>
        <w:rPr>
          <w:color w:val="C00000"/>
        </w:rPr>
        <w:t xml:space="preserve"> Ltda (CNPJ 35.322.558/0001-78, 2019) — extração e britagem em Nazaré/BA; a Mineração São Vicente é sócia pessoa jurídica;</w:t>
      </w:r>
    </w:p>
    <w:p w14:paraId="1B9ED8F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Via Nobre Construtora Ltda (CNPJ 32.205.185/0001-67, 2018) — construção de rodovias e ferrovias, Itagimirim/BA;</w:t>
      </w:r>
    </w:p>
    <w:p w14:paraId="37F542E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CSC Serviços Ltda (CNPJ 41.887.581/0001-02, 2021) — centro de serviços compartilhados (apoio administrativo e manutenção), Eunápolis/BA.</w:t>
      </w:r>
    </w:p>
    <w:p w14:paraId="5713AD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Em síntese: cerca de 16 estabelecimentos em mais de 10 municípios de dois estados, capital social agregado superior a R$ 4 milhões, verticalização registrada em quadro societário e os mesmos quatro sócios-administradores em todas as empresas — os mesmos da CIPREM.</w:t>
      </w:r>
    </w:p>
    <w:p w14:paraId="29002356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Somatório dos Limites de Risco Global (LRG) do grupo: [</w:t>
      </w:r>
      <w:r>
        <w:rPr>
          <w:b/>
          <w:bCs/>
          <w:color w:val="C00000"/>
        </w:rPr>
        <w:t>A PREENCHER CONFORME CADASTRO CORPORATIVO DO BANCO</w:t>
      </w:r>
      <w:r>
        <w:rPr>
          <w:color w:val="C00000"/>
        </w:rPr>
        <w:t>].</w:t>
      </w:r>
    </w:p>
    <w:p w14:paraId="0558701D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6. RELACIONAMENTO DO GRUPO COM O BNB</w:t>
      </w:r>
    </w:p>
    <w:p w14:paraId="2CD1C22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As empresas do grupo atuam majoritariamente na Bahia — área de atuação do FNE — e seu histórico de operações e relacionamento com o Banco do Nordeste deve ser consolidado conforme os registros do cadastro corporativo: </w:t>
      </w:r>
    </w:p>
    <w:p w14:paraId="0612462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— cliente desde [DATA]; operações: [A PREENCHER]; saldo devedor: [A PREENCHER];</w:t>
      </w:r>
    </w:p>
    <w:p w14:paraId="061A4D4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— cliente desde [DATA]; operações: [A PREENCHER]; saldo devedor: [A PREENCHER];</w:t>
      </w:r>
    </w:p>
    <w:p w14:paraId="3A12F04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Demais empresas do grupo — [A PREENCHER].</w:t>
      </w:r>
    </w:p>
    <w:p w14:paraId="0398FE69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7. GARANTIAS DA OPERAÇÃO</w:t>
      </w:r>
    </w:p>
    <w:p w14:paraId="1F64A61D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7.1 Garantia Principal</w:t>
      </w:r>
    </w:p>
    <w:p w14:paraId="73456134" w14:textId="77777777" w:rsidR="00326C65" w:rsidRDefault="00000000">
      <w:pPr>
        <w:spacing w:after="160" w:line="276" w:lineRule="auto"/>
        <w:jc w:val="both"/>
      </w:pPr>
      <w:r>
        <w:lastRenderedPageBreak/>
        <w:t>Alienação fiduciária de imóveis dos sócios e de empresas do grupo, no montante de R$ 26.719.525,67, correspondente a cobertura mínima de 110% do valor financiado. Relação de imóveis a detalhar no enquadramento.</w:t>
      </w:r>
    </w:p>
    <w:p w14:paraId="47AEEA59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7.2 Garantias Adicionais</w:t>
      </w:r>
    </w:p>
    <w:p w14:paraId="55F1692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Aval dos sócios Hugo Bassetti Colombi, Ramon Filipe Colombi, Sarita Colombi </w:t>
      </w:r>
      <w:proofErr w:type="spellStart"/>
      <w:r>
        <w:t>Morelato</w:t>
      </w:r>
      <w:proofErr w:type="spellEnd"/>
      <w:r>
        <w:t xml:space="preserve"> e Rebeca Colombi Taylor.</w:t>
      </w:r>
    </w:p>
    <w:p w14:paraId="295AC393" w14:textId="77777777" w:rsidR="00326C65" w:rsidRDefault="00000000">
      <w:pPr>
        <w:spacing w:after="160" w:line="276" w:lineRule="auto"/>
        <w:jc w:val="both"/>
      </w:pPr>
      <w:r>
        <w:t xml:space="preserve">O terreno da lavra é de terceiros (família </w:t>
      </w:r>
      <w:proofErr w:type="spellStart"/>
      <w:r>
        <w:t>Caffeu</w:t>
      </w:r>
      <w:proofErr w:type="spellEnd"/>
      <w:r>
        <w:t>), utilizado mediante contrato de servidão, e não integra o financiamento nem as garantias.</w:t>
      </w:r>
    </w:p>
    <w:p w14:paraId="1A0D94C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[OPCIONAL — AVALIAR COM A AGÊNCIA: constituição de cessão fiduciária de conta reserva/Fundo de Liquidez proporcional às liberações, a exemplo de operações recentes da agência (padrão de 10% do saldo devedor).]</w:t>
      </w:r>
    </w:p>
    <w:p w14:paraId="1612515F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8. TARIFA</w:t>
      </w:r>
    </w:p>
    <w:p w14:paraId="57C855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Nos termos da regulamentação vigente, será devida Tarifa de Análise de Viabilidade Econômico-Financeira de 1,25% do valor financiado — R$ 303.630,97 sobre R$ 24.290.477,88 — [</w:t>
      </w:r>
      <w:r>
        <w:rPr>
          <w:b/>
          <w:bCs/>
          <w:color w:val="C00000"/>
        </w:rPr>
        <w:t>CONFERIR VALOR/ALÍQUOTA VIGENTE NA NORMA 3303-21-01, TABELA 1</w:t>
      </w:r>
      <w:r>
        <w:rPr>
          <w:color w:val="C00000"/>
        </w:rPr>
        <w:t>].</w:t>
      </w:r>
    </w:p>
    <w:p w14:paraId="3B7C14E7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9. RELACIONAMENTO NEGOCIAL</w:t>
      </w:r>
    </w:p>
    <w:p w14:paraId="223ABDC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</w:t>
      </w:r>
      <w:r>
        <w:rPr>
          <w:b/>
          <w:bCs/>
          <w:color w:val="C00000"/>
        </w:rPr>
        <w:t>A PREENCHER</w:t>
      </w:r>
      <w:r>
        <w:rPr>
          <w:color w:val="C00000"/>
        </w:rPr>
        <w:t>: aplicações financeiras, seguros e demais produtos mantidos pelo grupo junto ao Banco.] Propõe-se, como reciprocidade, a centralização do domicílio bancário da operação, da movimentação financeira do empreendimento, da folha de pagamento e dos seguros no Banco do Nordeste.</w:t>
      </w:r>
    </w:p>
    <w:p w14:paraId="428F6FA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CONSIDERAÇÕES FINAIS</w:t>
      </w:r>
    </w:p>
    <w:p w14:paraId="13BB5D3F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Após análise dos aspectos cadastrais, econômico-financeiros, mercadológicos e das garantias propostas, submete-se a proposta à manifestação da agência, destacando os seguintes fundamentos:</w:t>
      </w:r>
    </w:p>
    <w:p w14:paraId="15F4EBDE" w14:textId="430C951B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highlight w:val="yellow"/>
        </w:rPr>
      </w:pPr>
      <w:r>
        <w:rPr>
          <w:color w:val="C00000"/>
        </w:rPr>
        <w:t xml:space="preserve">o empreendimento insere-se em região com demanda consistente por agregados e sem pedreira comercial estabelecida no município, com âncoras de demanda verificáveis </w:t>
      </w:r>
      <w:r w:rsidRPr="00C3733B">
        <w:rPr>
          <w:color w:val="C00000"/>
          <w:highlight w:val="yellow"/>
        </w:rPr>
        <w:t>(concreteiras instaladas, duplicação da BR-101/ES);</w:t>
      </w:r>
    </w:p>
    <w:p w14:paraId="70095D0A" w14:textId="1DE045C9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proponente integra grupo empresarial com atividade idêntica em plena operação, reduzindo o risco de implantação e de gestão;</w:t>
      </w:r>
    </w:p>
    <w:p w14:paraId="32434E1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os sócios demonstram comprometimento prévio efetivo: terreno de apoio próprio, servidão contratada e licenças (ANM, LP e LI) obtidas com recursos próprios;</w:t>
      </w:r>
    </w:p>
    <w:p w14:paraId="5B17426F" w14:textId="4A4EBB58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a estrutura de garantias — alienação fiduciária de imóveis com cobertura mínima de 110%, </w:t>
      </w:r>
      <w:r w:rsidR="00C3733B">
        <w:rPr>
          <w:color w:val="C00000"/>
        </w:rPr>
        <w:t xml:space="preserve">e </w:t>
      </w:r>
      <w:r>
        <w:rPr>
          <w:color w:val="C00000"/>
        </w:rPr>
        <w:t>aval dos sócios — mostra-se adequada à mitigação dos riscos;</w:t>
      </w:r>
    </w:p>
    <w:p w14:paraId="265C8F1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operação amplia o relacionamento do grupo com o Banco e a reciprocidade negocial (domicílio, movimentação, seguros);</w:t>
      </w:r>
    </w:p>
    <w:p w14:paraId="47EB2FD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 empreendimento alinha-se às diretrizes do FNE e da Política Nacional de Desenvolvimento Regional — geração de emprego e renda, fortalecimento de infraestrutura e desenvolvimento do interior da área de atuação da SUDENE;</w:t>
      </w:r>
    </w:p>
    <w:p w14:paraId="2498137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principal dirigente é mulher, com pleito de enquadramento na condição de prazo correspondente da Programação FNE.</w:t>
      </w:r>
    </w:p>
    <w:p w14:paraId="792EADF0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lastRenderedPageBreak/>
        <w:t>10. ENQUADRAMENTO NORMATIVO</w:t>
      </w:r>
    </w:p>
    <w:p w14:paraId="0ED3D2D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presente operação observa, entre outras, as disposições das seguintes normas internas [</w:t>
      </w:r>
      <w:r>
        <w:rPr>
          <w:b/>
          <w:bCs/>
          <w:color w:val="C00000"/>
        </w:rPr>
        <w:t>CONFERIR VIGÊNCIA/APLICABILIDADE</w:t>
      </w:r>
      <w:r>
        <w:rPr>
          <w:color w:val="C00000"/>
        </w:rPr>
        <w:t>]:</w:t>
      </w:r>
    </w:p>
    <w:p w14:paraId="6F4D39BB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3102-03-04 — Carta Consulta;</w:t>
      </w:r>
    </w:p>
    <w:p w14:paraId="00ACA5C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3102-03-10 — Responsabilidade pela Operacionalização das Propostas de Crédito;</w:t>
      </w:r>
    </w:p>
    <w:p w14:paraId="7A60C43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1101-04-13 — Programa de Crédito e Enquadramento;</w:t>
      </w:r>
    </w:p>
    <w:p w14:paraId="6D556F8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1101-11-08 — Parâmetros de Composição de Garantias;</w:t>
      </w:r>
    </w:p>
    <w:p w14:paraId="01A3FD0A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1101-12-03 — Alçada Decisória.</w:t>
      </w:r>
    </w:p>
    <w:p w14:paraId="0B2F1345" w14:textId="77777777" w:rsidR="00326C65" w:rsidRDefault="00000000">
      <w:pPr>
        <w:spacing w:before="480" w:after="240"/>
      </w:pPr>
      <w:r>
        <w:t xml:space="preserve">São Mateus/ES, ____ de ____________ </w:t>
      </w:r>
      <w:proofErr w:type="spellStart"/>
      <w:r>
        <w:t>de</w:t>
      </w:r>
      <w:proofErr w:type="spellEnd"/>
      <w:r>
        <w:t xml:space="preserve"> 2026.</w:t>
      </w:r>
    </w:p>
    <w:p w14:paraId="2802FF1B" w14:textId="77777777" w:rsidR="00326C65" w:rsidRDefault="00000000">
      <w:pPr>
        <w:spacing w:before="480" w:after="40"/>
        <w:jc w:val="center"/>
      </w:pPr>
      <w:r>
        <w:t>___________________________________</w:t>
      </w:r>
    </w:p>
    <w:p w14:paraId="16018744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53AEEC5E" w14:textId="77777777" w:rsidR="00326C65" w:rsidRDefault="00000000">
      <w:pPr>
        <w:spacing w:after="240"/>
        <w:jc w:val="center"/>
      </w:pPr>
      <w:r>
        <w:t>Gerente de Relacionamento</w:t>
      </w:r>
    </w:p>
    <w:p w14:paraId="78AEBE3B" w14:textId="77777777" w:rsidR="00326C65" w:rsidRDefault="00000000">
      <w:pPr>
        <w:spacing w:before="240" w:after="40"/>
        <w:jc w:val="center"/>
      </w:pPr>
      <w:r>
        <w:t>___________________________________</w:t>
      </w:r>
    </w:p>
    <w:p w14:paraId="62C4CB20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32B187D5" w14:textId="77777777" w:rsidR="00326C65" w:rsidRDefault="00000000">
      <w:pPr>
        <w:jc w:val="center"/>
      </w:pPr>
      <w:r>
        <w:t>Gerente de Agência</w:t>
      </w:r>
    </w:p>
    <w:sectPr w:rsidR="00326C65">
      <w:pgSz w:w="11906" w:h="16838"/>
      <w:pgMar w:top="1134" w:right="1134" w:bottom="1134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87966C7"/>
    <w:multiLevelType w:val="hybridMultilevel"/>
    <w:tmpl w:val="4DFC42C8"/>
    <w:lvl w:ilvl="0" w:tplc="3EE43044">
      <w:start w:val="1"/>
      <w:numFmt w:val="bullet"/>
      <w:lvlText w:val="●"/>
      <w:lvlJc w:val="left"/>
      <w:pPr>
        <w:ind w:left="720" w:hanging="360"/>
      </w:pPr>
    </w:lvl>
    <w:lvl w:ilvl="1" w:tplc="0DEA2C9C">
      <w:start w:val="1"/>
      <w:numFmt w:val="bullet"/>
      <w:lvlText w:val="○"/>
      <w:lvlJc w:val="left"/>
      <w:pPr>
        <w:ind w:left="1440" w:hanging="360"/>
      </w:pPr>
    </w:lvl>
    <w:lvl w:ilvl="2" w:tplc="C7C42F0C">
      <w:start w:val="1"/>
      <w:numFmt w:val="bullet"/>
      <w:lvlText w:val="■"/>
      <w:lvlJc w:val="left"/>
      <w:pPr>
        <w:ind w:left="2160" w:hanging="360"/>
      </w:pPr>
    </w:lvl>
    <w:lvl w:ilvl="3" w:tplc="3552D154">
      <w:start w:val="1"/>
      <w:numFmt w:val="bullet"/>
      <w:lvlText w:val="●"/>
      <w:lvlJc w:val="left"/>
      <w:pPr>
        <w:ind w:left="2880" w:hanging="360"/>
      </w:pPr>
    </w:lvl>
    <w:lvl w:ilvl="4" w:tplc="23CCD3FC">
      <w:start w:val="1"/>
      <w:numFmt w:val="bullet"/>
      <w:lvlText w:val="○"/>
      <w:lvlJc w:val="left"/>
      <w:pPr>
        <w:ind w:left="3600" w:hanging="360"/>
      </w:pPr>
    </w:lvl>
    <w:lvl w:ilvl="5" w:tplc="FCF63028">
      <w:start w:val="1"/>
      <w:numFmt w:val="bullet"/>
      <w:lvlText w:val="■"/>
      <w:lvlJc w:val="left"/>
      <w:pPr>
        <w:ind w:left="4320" w:hanging="360"/>
      </w:pPr>
    </w:lvl>
    <w:lvl w:ilvl="6" w:tplc="B79A41EC">
      <w:start w:val="1"/>
      <w:numFmt w:val="bullet"/>
      <w:lvlText w:val="●"/>
      <w:lvlJc w:val="left"/>
      <w:pPr>
        <w:ind w:left="5040" w:hanging="360"/>
      </w:pPr>
    </w:lvl>
    <w:lvl w:ilvl="7" w:tplc="843A2BF0">
      <w:start w:val="1"/>
      <w:numFmt w:val="bullet"/>
      <w:lvlText w:val="●"/>
      <w:lvlJc w:val="left"/>
      <w:pPr>
        <w:ind w:left="5760" w:hanging="360"/>
      </w:pPr>
    </w:lvl>
    <w:lvl w:ilvl="8" w:tplc="E126FF58">
      <w:start w:val="1"/>
      <w:numFmt w:val="bullet"/>
      <w:lvlText w:val="●"/>
      <w:lvlJc w:val="left"/>
      <w:pPr>
        <w:ind w:left="6480" w:hanging="360"/>
      </w:pPr>
    </w:lvl>
  </w:abstractNum>
  <w:num w:numId="1" w16cid:durableId="2001034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C65"/>
    <w:rsid w:val="00326C65"/>
    <w:rsid w:val="006C41C6"/>
    <w:rsid w:val="00C3733B"/>
    <w:rsid w:val="00E00FFF"/>
    <w:rsid w:val="00F21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D804B05"/>
  <w15:docId w15:val="{78414C6E-495B-5D47-B35F-BC3E87254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2310</Words>
  <Characters>12613</Characters>
  <Application>Microsoft Office Word</Application>
  <DocSecurity>0</DocSecurity>
  <Lines>153</Lines>
  <Paragraphs>30</Paragraphs>
  <ScaleCrop>false</ScaleCrop>
  <Company/>
  <LinksUpToDate>false</LinksUpToDate>
  <CharactersWithSpaces>14893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Projet Consultoria</cp:lastModifiedBy>
  <cp:revision>4</cp:revision>
  <dcterms:created xsi:type="dcterms:W3CDTF">2026-08-05T16:40:00Z</dcterms:created>
  <dcterms:modified xsi:type="dcterms:W3CDTF">2026-08-10T13:09:00Z</dcterms:modified>
</cp:coreProperties>
</file>