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Registre-se, para transparência, que a conversão de desmonte em britados da PVV (91,6%) ainda não foi conciliada com o cliente e que a projeção financeira não aplica fator de rendimento (item 11).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Corredor de Nestor Gomes (km 13–41) — proximidade imediata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10 km × MCL 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MCL 62 km — concorrente de volume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mesma praça, outro rival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Usibrita 40 km — concorrente de preço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+4,5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69 km × Mattar 68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−0,9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34 km × MCL 26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−7,3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32 km × MCL local 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 km × Usibrita local 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−29,1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95 km × Mattar 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87 km × Mattar 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−33,7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44 km × Mattar local 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−35,5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própria regra de frete escrita na tabela de preços do grupo ("Carreta: 0,91 × volume (T) × KM"), conservadora frente aos R$ 0,78/t·km do SICRO/DNIT. Populações: IBGE, estimativas 2025 (Censo 2022 para Conceição da Barra, Montanha e Vila Pavão). Distâncias rodoviárias apuradas em sites de rotas (ago/2026), todas submetidas ao teste de sanidade rodovia ≥ linha reta entre coordenadas — teste que corrigiu duas distâncias da versão anterior: Boa Esperança, cuja rota bifurca cerca de 50° fora do eixo da estrada de Nestor Gomes e passa de 25 para 32–36 km, e Rio Bananal, de 73 para ~100 km. A decomposição a partir do marco km 35 só é válida para praças no mesmo tronco. Recomenda-se refino por roteirizador, a partir da coordenada da boca da jazida, na versão de protocolo. Fora do raio econômico e por isso ausentes da tabela: São Gabriel da Palha (34,3 mil hab, 75–90 km) e Vila Pavão (8,9 mil hab, 62 km), esta última polo de granito ornamental.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subestima a posição da CIPREM. O concorrente de preço em São Mateus é a Usibrita, a 40 km contra 35 km da CIPREM: margem de apenas R$ 4,5/t, o que a torna referência de preço na praça. Mas ela vendeu cerca de 5 mil t em 2025 (item 6.1) — menos de um quinto da demanda do próprio município de Jaguaré, onde está instalada. Não tem escala para disputar volume. Quem limita volume é a MCL, a 62 km, e contra ela a vantagem da CIPREM é de R$ 24,6/t — cerca de um quarto do preço posto na obra. A conclusão prática: a Usibrita ancora o preço, a MCL define o volume disputável, e a CIPREM entra com vantagem estrutural sobre a segunda sem precisar romper o preço da primeira.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~62 km da sede de São Mateus (unidade Pedra do Elefante; a sede de Nova Venécia está a ~67 km), a Mattar a ~70 km (Pinheiros) e a Sangali a ~100 km (Rio Bananal); a CIPREM produziria a ~35 km — e a Usibrita, único produtor do entorno imediato,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R$ 29,1/t, e a CIPREM só entra ali por CIF e serviço, contra um incumbente sem capacidade instalada para atender a demanda local.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o da Columbia, modesto, a ~62 km; e o mais próximo (Usibrita, ~40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mercado-base conservador de dois municípios (São Mateus 134.423 — estimativa 2025 — e Conceição da Barra 27.458 — Censo 2022; total 161.881 hab), a demanda corrente situa-se entre 235 e 275 mil t/ano. Memória de cálculo — piso: 134.423 × 1,6 + 27.458 × 0,8 ≈ 237,0 mil t/ano (índice pleno na sede; metade do índice no município de perfil rural-litorâneo); teto: 161.881 × 1,7 ≈ 275,2 mil t/ano (índice estadual pleno em todo o mercado-base). As praças disputadas de Jaguaré (31.551 hab; produtor instalado) e Boa Esperança (14.054 hab; órbita comercial de Nova Venécia), mantidas fora da linha de base por conservadorismo, adicionariam 36–78 mil t/ano pela mesma métrica (0,8–1,7 t/hab). Fonte do índice: vendas declaradas no RAL, consolidadas pela ANM no Anuário Mineral Brasileiro/AMB [27].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As praças disputadas — Jaguaré e Boa Esperança; 45.605 hab; 36–78 mil t/ano — e o potencial secundário — Pedro Canário e a franja norte desabastecida (Montanha, Mucurici e Ponto Belo); 53.147 hab no conjunto — ficam fora da linha de base e das projeções.</w:t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dois municípios mede o mercado que a CIPREM domina por frete, não o mercado que ela pode atender. Somando as camadas alcançáveis — mercado-base (237–275 mil t/ano), praças disputadas de Jaguaré e Boa Esperança (36–78 mil t/ano), praças-sede de concorrente acessíveis por CIF, Nova Venécia e Pinheiros (62–131 mil t/ano), e obras públicas catalogadas (70–100 mil t/ano) — o mercado endereçável situa-se entre 405 e 584 mil t/ano. Pedro Canário e a franja norte permanecem fora: há vazio de oferta local, mas a desvantagem de frete de R$ 32 a 34/t não é compensável, e o estudo lhes atribui peso zero. É contra a faixa de 405–584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 nem em Conceição da Barra; a operação mais próxima é a Usibrita, ~5 mil t/ano, em Jaguaré (item 6.1). A demanda só das obras públicas catalogadas é da ordem de 70 a 100 mil t/ano, e a demanda corrente do mercado-base situa-se entre 235 e 275 mil t/ano. A região consome muito mais brita do que produz por perto, importando-a de 60 a 140 km com frete caro (MCL ~62 km; Mattar ~70 km; Sangali ~100 km; Linhares–Aracruz 85–142 km). A questão de fundo — se as obras dividem um mercado pequeno ou o ampliam — se responde pelos números: o mercado cresce, e a CIPREM, a ~35 km da sede, entra com a maior vantagem de frete. No platô, a produção de 237,5 mil t/ano equivale a 41–59% do mercado endereçável de 405–584 mil t/ano (item 6.2). Pela via de baixo para cima, a captura ponderada pelos pesos de penetração do item 8 resulta em 200 a 248 mil t/ano, faixa em que o platô se posiciona a 79%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(235–275 mil t/ano), o mercado endereçável de 405–584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200 a 248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Gomes: é onde a CIPREM produz mais perto que qualquer concorrente e onde estão o grosso da demanda e as obras. A vantagem sobre o concorrente de volume (MCL) é de R$ 24,6/t na sede e de R$ 31,9/t no corredor. Conceição da Barra entra por paridade (−R$ 0,9/t)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R$ 24,6 a R$ 35,5/t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R$ 24,6/t sobre o concorrente de volume. Conceição da Barra, 25% — paridade de frete, sem produtor local. Jaguaré, 20% — desvantagem de frete, mas incumbente sem capacidade. Boa Esperança, 15% — desvantagem de R$ 7,3/t frente à MCL.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200 a 248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235–275 mil t/ano no mercado-base conservador de dois municípios e mercado endereçável de 405–584 mil t/ano somadas as praças alcançáveis por CIF e as obras — contra o qual o platô de 237,5 mil t/ano representa 41 a 59%, e não os 78 a 91% que a leitura restrita ao mercado-base sugeria; (ii) um ciclo extraordinário de obras públicas (&gt;R$ 1 bilhão) que adiciona 70–100 mil t/ano de brita durante a janela de construção, além de um potencial de 75–90 mil t na pavimentação remanescente de Guriri; (iii) vantagem logística estrutural e mensurada — R$ 24,6/t sobre o concorrente de volume na sede e R$ 31,9/t no corredor de Nestor Gomes, em produto cujo preço posto é dominado pelo frete; (iv) concorrência em que o player mais próximo ancora preço mas não tem escala para disputar volume, com falhas de atendimento exploráveis; e (v) respaldo de um grupo cuja unidade em operação já pratica, em 2025, volume 0,5% superior ao platô aqui projetado. A captura ponderada por praça resulta em 200–248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Rendimento de britagem (desmonte → produto vendável). </w:t>
      </w:r>
      <w:r>
        <w:rPr>
          <w:b w:val="0"/>
        </w:rPr>
        <w:t>A unidade do grupo converteu 236.280 t desmontadas em 216.385 t de britados em 2025 (91,6%). A projeção financeira não aplica fator de rendimento — vende 100% da massa in situ. Apurar com o cliente se os 8,4% são perda real (finos, uso interno em acessos, material fora de especificação), artefato de medição entre topografia e balança, ou defasagem de estoque entre exercícios. Não altera a decisão de platô, mas define se a folga sobre o pleito é de R$ 2,11 mi ou de R$ 0,20 mi.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Não consta de nenhum documento do dossiê: todas as distâncias derivam do marco km 35. Obter da poligonal ANM do processo 896.624/2013, do PAE ou dos arquivos KML do projeto, e refazer a régua do item 4 por roteirizador.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da Usibrita e da Sangali, e contradição da MCL. </w:t>
      </w:r>
      <w:r>
        <w:rPr>
          <w:b w:val="0"/>
        </w:rPr>
        <w:t>O estudo adota 62 km entre a MCL e a sede de São Mateus, enquanto a coordenada de base indica ~74 km; mantém-se 62 km por ser a hipótese menos favorável à CIPREM até que a poligonal decida.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(1,6–1,7 t/hab/ano)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