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dentro do próprio município: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foi levantada nos projetos dos 21 loteamentos: 193,4 km de vias, das quais apenas 20,1% pavimentadas. Faltam 1.236.048 m² de pista e 581.856 m² de calçada — 891–1.166 mil t de agregados, dos quais 765–968 mil t de produtos de britagem, pela banda composicional das tabelas oficiais DER-ES/SINAPI (memória anexa) —, espalhados por cerca de uma década pela própria lógica construtiva (pavimenta-se depois de drenar, bacia a bacia; a Bacia 1 corre por 1.620 dias), das quais as projeções contabilizam, conservadoramente, apenas 78–117 mil t de produtos de britagem, cerca de um décimo do potencial medido — e as Bacias 1 e 2 cobrem só 20,2% do que falta, restando 44 anos de pavimentação ao ritmo contratual do Estado (22 anos com duas bacias simultâneas), contra os 14 anos do financiamento.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representa 41 a 56%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207 a 245 mil t/ano, faixa na qual o platô se posiciona a 81%.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