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formado por 21 loteamentos, com cerca de 8 km de extensão norte-sul, historicamente com vias precárias e sujeitas a alagamento. O levantamento dos projetos dos 21 loteamentos, com o status de pavimentação de cada rua verificado em satélite e reverificado a cada 350 m por um segundo revisor, apurou 193.373 m de vias (193,4 km) — dos quais apenas 38.868 m (20,1%) estão pavimentados. Esse inventário substitui a estimativa por grade das versões anteriores (40 a 48 km / 350 a 400 mil m²), que subestimava a malha em 4,0 a 4,8 vezes. O plano-mestre de macrodrenagem e pavimentação, dividido em três bacias, ataca essa carência por partes: a Bacia 1 tem 13,5 km de galerias e ~125 mil m² de pavimentação contratados (9,26 m de largura média por metro linear) e a Bacia 2, até 10,6 km de galerias.</w:t>
      </w:r>
    </w:p>
    <w:p>
      <w:pPr>
        <w:spacing w:after="140" w:line="276"/>
        <w:jc w:val="both"/>
      </w:pPr>
      <w:r>
        <w:rPr>
          <w:b w:val="0"/>
        </w:rPr>
        <w:t>Falta pavimentar 154.506 m de pista — 1.236.048 m² à largura média de projeto de 8 m, incluídos 5.560 m previstos em planta e ainda não abertos — mais 581.856 m² de calçada em vias já abertas. Pela banda composicional oficial (DER-ES/SINAPI; 0,661 a 0,861 t/m² na pista e 0,126 a 0,175 t/m² na calçada — memória de cálculo anexa), isso representa 891 a 1.166 mil t de agregados, das quais 765 a 968 mil t são produtos de britagem. Três leituras: as Bacias 1 e 2 cobrem cerca de 250 mil m², ou 20,2% do que falta, restando 986.048 m² sem contrato (618 a 784 mil t de britagem); ao ritmo contratual do próprio Estado — 125 mil m² em 1.620 dias, ou 28,4 mil m²/ano —, concluir a pavimentação de Guriri levaria 44 anos com uma bacia por vez e 22 anos com duas simultâneas, contra os 14 anos do financiamento; e o total equivale a 3,2 a 4,1 anos de produção integral da CIPREM no platô. As projeções do empreendimento seguem incorporando apenas 75 a 90 mil t desse potencial — cerca de um décimo (8% a 15%) —, escoados nos anos 5 a 10 (~13 a 19 mil t/ano).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medido de Guriri — 1.236.048 m² de pista e 581.856 m² de calçada por pavimentar, ou 891–1.166 mil t de agregados, dos quais 765–968 mil t de produtos de britagem —, do qual as projeções incorporam apenas 78–117 mil t, cerca de um décimo;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