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70–100 mil t/ano de demanda extraordinária de brita durante a janela de obras — e destravam um potencial estrutural maior: a malha de Guriri</w:t>
      </w:r>
      <w:r>
        <w:rPr>
          <w:color w:val="C00000"/>
        </w:rPr>
        <w:t>, levantada nos projetos dos 21 loteamentos que formam o balneário — 193,4 km de vias, das quais apenas 20,1% pavimentadas —,</w:t>
      </w:r>
      <w:r>
        <w:rPr>
          <w:color w:val="000000"/>
        </w:rPr>
        <w:t xml:space="preserve"> permanece majoritariamente sem pavimentação definitiva, e sua pavimentação completa, viabilizada justamente pela macrodrenagem em curso, </w:t>
      </w:r>
      <w:r>
        <w:rPr>
          <w:color w:val="C00000"/>
        </w:rPr>
        <w:t>representa 1.236.048 m² de pista e 581.856 m² de calçada a executar: 891 a 1.166 mil t de agregados, das quais 765 a 968 mil t de produtos de britagem (banda composicional das tabelas oficiais DER-ES/SINAPI — memória anexa). As Bacias 1 e 2 cobrem apenas 20,2% disso; ao ritmo contratual do próprio Estado, concluir a pavimentação de Guriri levaria de 22 a 44 anos — contra os 14 anos do financiamento</w:t>
      </w:r>
      <w:r>
        <w:rPr>
          <w:color w:val="000000"/>
        </w:rPr>
        <w:t xml:space="preserve"> —, das quais as projeções contabilizam, conservadoramente, apenas </w:t>
      </w:r>
      <w:r>
        <w:rPr>
          <w:color w:val="C00000"/>
        </w:rPr>
        <w:t>78 a 117 mil t de produtos de britagem, cerca de um décimo do potencial medido.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As toneladas contabilizadas nas projeções permanecem em 78–117 mil t de produtos de britagem — cerca de um décimo do potencial medido de Guriri (765–968 mil t), após o levantamento dos 21 loteamentos.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