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dos projetos dos 21 loteamentos (seção 3) mostrou que a grade subestimava a malha em 4,0 a 4,8 vezes: a extensão real é de 193.373 m (193,4 km) e a área de pista, 1.547 mil m²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com verificação dupla de status.</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o que FALTA pavimentar em Guriri representa 891 a 1.166 mil t de agregados, dos quais 765 a 968 mil t são PRODUTOS DE BRITAGEM — o que a CIPREM vende. Compare-se com o que este mesmo documento publicava na versão anterior para a malha INTEIRA (256–374 mil t de agregados; 219–312 mil t de britagem): o potencial apenas do que falta é 2,5 a 4,4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w:t>
      </w:r>
    </w:p>
    <w:p>
      <w:pPr>
        <w:spacing w:after="120" w:before="160"/>
      </w:pPr>
      <w:r>
        <w:rPr>
          <w:b/>
          <w:i w:val="0"/>
          <w:sz w:val="22"/>
        </w:rPr>
        <w:t>Frase 6 — “As projeções incorporam 75 a 90 mil t desse potencial” — o share cai a CERCA DE UM DÉCIMO</w:t>
      </w:r>
    </w:p>
    <w:p>
      <w:pPr>
        <w:spacing w:after="120"/>
      </w:pPr>
      <w:r>
        <w:rPr>
          <w:b w:val="0"/>
          <w:i w:val="0"/>
        </w:rPr>
        <w:t>As projeções seguem incorporando 78–117 mil t de produtos de britagem de Guriri ao longo de todo o horizonte — número NÃO alterado nesta revisão, deliberadamente. O que mudou foi o denominador: contra o potencial medido de 765–968 mil t, essa parcela representa 8% a 15% — cerca de um décimo. As versões anteriores diziam “pouco mais de um terço”, contra um denominador que a medição mostrou subestimado em 4 a 5 vezes; a rigor, o estudo era ainda mais conservador do que declarava. Premissa de faseamento, mantida e declarada: o volume incorporado escoa nos anos 5–10 do projeto (6 anos), daí os 13–19 mil t/ano da camada “Guriri estrutural” do exhibit do §2 — que o inventário agora mostra ser, ela própria, conservadora (ver §2, conclusão iv).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produtos de britagem do remanescente (78–117 mil t, frase 6; o inventário medido do §3 comporta o dobro) distribuída pelos anos 5–10 (13–19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(13–19 mil t/ano, anos 5–10), o crescimento vegetativo do setor (~5% a.a. ANEPAC ⇒ +13–15 mil t/ano sobre a captura, cumulativo) e os loteamentos privados contínuos — sem contar Fundo Cidades, Sítio Histórico, Mercado Municipal e o programa da concessão da BR-101, contratado até 2048. E a camada de Guriri deste exhibit é, ela própria, conservadora: o inventário medido (§3) mostra 618–784 mil t de produtos de britagem em vias SEM contrato, o que dá 31–39 mil t/ano num escoamento de 20 anos — cerca do dobro dos 13–19 mil t/ano que o exhibit conta.</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não suposto: são 154.506 m de via a pavimentar (§3), dos quais as obras contratadas cobrem 20%; ao ritmo contratual do próprio Estado, 22 a 44 anos de pavimentação. Não é um pico de 4 anos que desaparece: é um estoque de vias a pavimentar, liberado em fases ao longo — e além — do prazo do financiamento da CIPREM.</w:t>
      </w:r>
    </w:p>
    <w:p>
      <w:pPr>
        <w:spacing w:after="120" w:before="200"/>
      </w:pPr>
      <w:r>
        <w:rPr>
          <w:b/>
          <w:i w:val="0"/>
          <w:sz w:val="26"/>
        </w:rPr>
        <w:t>3. Inventário viário medido de Guriri e o horizonte pós-macrodrenagem</w:t>
      </w:r>
    </w:p>
    <w:p>
      <w:pPr>
        <w:spacing w:after="120"/>
      </w:pPr>
      <w:r>
        <w:rPr>
          <w:b/>
          <w:i w:val="0"/>
        </w:rPr>
        <w:t>Esta seção substitui a estimativa por grade das versões anteriores. A malha viária de Guriri foi levantada a partir dos PROJETOS DOS 21 LOTEAMENTOS que compõem o balneário, e o status de pavimentação de cada rua foi verificado em imagem de satélite e depois REVERIFICADO, por um segundo revisor independente, a cada 350 metros de via. O resultado corrige a estimativa anterior por um fator de 4 a 5 — e é a razão de esta seção existir.</w:t>
      </w:r>
    </w:p>
    <w:p>
      <w:pPr>
        <w:spacing w:after="120" w:before="160"/>
      </w:pPr>
      <w:r>
        <w:rPr>
          <w:b/>
          <w:i w:val="0"/>
          <w:sz w:val="22"/>
        </w:rPr>
        <w:t>3.1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Extensão total de vias</w:t>
            </w:r>
          </w:p>
        </w:tc>
        <w:tc>
          <w:tcPr>
            <w:tcW w:type="dxa" w:w="2880"/>
          </w:tcPr>
          <w:p>
            <w:r>
              <w:rPr>
                <w:sz w:val="18"/>
              </w:rPr>
              <w:t>193.373 m (193,4 km)</w:t>
            </w:r>
          </w:p>
        </w:tc>
        <w:tc>
          <w:tcPr>
            <w:tcW w:type="dxa" w:w="2880"/>
          </w:tcPr>
          <w:p>
            <w:r>
              <w:rPr>
                <w:sz w:val="18"/>
              </w:rPr>
              <w:t>21 loteamentos, pelas plantas de projeto</w:t>
            </w:r>
          </w:p>
        </w:tc>
      </w:tr>
      <w:tr>
        <w:tc>
          <w:tcPr>
            <w:tcW w:type="dxa" w:w="2880"/>
          </w:tcPr>
          <w:p>
            <w:r>
              <w:rPr>
                <w:sz w:val="18"/>
              </w:rPr>
              <w:t>Pista já pavimentada</w:t>
            </w:r>
          </w:p>
        </w:tc>
        <w:tc>
          <w:tcPr>
            <w:tcW w:type="dxa" w:w="2880"/>
          </w:tcPr>
          <w:p>
            <w:r>
              <w:rPr>
                <w:sz w:val="18"/>
              </w:rPr>
              <w:t>38.868 m (20,1%)</w:t>
            </w:r>
          </w:p>
        </w:tc>
        <w:tc>
          <w:tcPr>
            <w:tcW w:type="dxa" w:w="2880"/>
          </w:tcPr>
          <w:p>
            <w:r>
              <w:rPr>
                <w:sz w:val="18"/>
              </w:rPr>
              <w:t>verificado em satélite, com dupla checagem a cada 350 m</w:t>
            </w:r>
          </w:p>
        </w:tc>
      </w:tr>
      <w:tr>
        <w:tc>
          <w:tcPr>
            <w:tcW w:type="dxa" w:w="2880"/>
          </w:tcPr>
          <w:p>
            <w:r>
              <w:rPr>
                <w:sz w:val="18"/>
              </w:rPr>
              <w:t>Falta pavimentar (pista)</w:t>
            </w:r>
          </w:p>
        </w:tc>
        <w:tc>
          <w:tcPr>
            <w:tcW w:type="dxa" w:w="2880"/>
          </w:tcPr>
          <w:p>
            <w:r>
              <w:rPr>
                <w:sz w:val="18"/>
              </w:rPr>
              <w:t>154.506 m ≈ 1.236.048 m²</w:t>
            </w:r>
          </w:p>
        </w:tc>
        <w:tc>
          <w:tcPr>
            <w:tcW w:type="dxa" w:w="2880"/>
          </w:tcPr>
          <w:p>
            <w:r>
              <w:rPr>
                <w:sz w:val="18"/>
              </w:rPr>
              <w:t>largura média de 8 m; inclui 5.560 m previstos em planta e ainda não abertos</w:t>
            </w:r>
          </w:p>
        </w:tc>
      </w:tr>
      <w:tr>
        <w:tc>
          <w:tcPr>
            <w:tcW w:type="dxa" w:w="2880"/>
          </w:tcPr>
          <w:p>
            <w:r>
              <w:rPr>
                <w:sz w:val="18"/>
              </w:rPr>
              <w:t>Calçada faltante</w:t>
            </w:r>
          </w:p>
        </w:tc>
        <w:tc>
          <w:tcPr>
            <w:tcW w:type="dxa" w:w="2880"/>
          </w:tcPr>
          <w:p>
            <w:r>
              <w:rPr>
                <w:sz w:val="18"/>
              </w:rPr>
              <w:t>145.465 m de via ≈ 581.856 m²</w:t>
            </w:r>
          </w:p>
        </w:tc>
        <w:tc>
          <w:tcPr>
            <w:tcW w:type="dxa" w:w="2880"/>
          </w:tcPr>
          <w:p>
            <w:r>
              <w:rPr>
                <w:sz w:val="18"/>
              </w:rPr>
              <w:t>2 lados × 2 m, apenas em vias já abertas</w:t>
            </w:r>
          </w:p>
        </w:tc>
      </w:tr>
      <w:tr>
        <w:tc>
          <w:tcPr>
            <w:tcW w:type="dxa" w:w="2880"/>
          </w:tcPr>
          <w:p>
            <w:r>
              <w:rPr>
                <w:sz w:val="18"/>
              </w:rPr>
              <w:t>ESTIMATIVA ANTERIOR (grade)</w:t>
            </w:r>
          </w:p>
        </w:tc>
        <w:tc>
          <w:tcPr>
            <w:tcW w:type="dxa" w:w="2880"/>
          </w:tcPr>
          <w:p>
            <w:r>
              <w:rPr>
                <w:sz w:val="18"/>
              </w:rPr>
              <w:t>40–48 km / 350–400 mil m²</w:t>
            </w:r>
          </w:p>
        </w:tc>
        <w:tc>
          <w:tcPr>
            <w:tcW w:type="dxa" w:w="2880"/>
          </w:tcPr>
          <w:p>
            <w:r>
              <w:rPr>
                <w:sz w:val="18"/>
              </w:rPr>
              <w:t>subestimava a malha em 4,0 a 4,8 vezes — substituída</w:t>
            </w:r>
          </w:p>
        </w:tc>
      </w:tr>
    </w:tbl>
    <w:p>
      <w:pPr>
        <w:spacing w:after="120"/>
      </w:pPr>
      <w:r>
        <w:rPr>
          <w:b w:val="0"/>
          <w:i w:val="0"/>
          <w:sz w:val="19"/>
        </w:rPr>
        <w:t>O que o método estabelece com segurança: a EXTENSÃO das vias (das plantas aprovadas de cada loteamento) e a distinção pavimentado × não pavimentado (superfície em satélite, com dupla verificação). O que ele não estabelece: o tipo de revestimento de cada trecho já pavimentado (asfalto × bloco) nem o estado de conservação — irrelevantes aqui, porque o cálculo trata somente do que FALTA pavimentar. A largura média de 8 m e a calçada de 2 × 2 m são as seções de projeto dos loteamentos.</w:t>
      </w:r>
    </w:p>
    <w:p>
      <w:pPr>
        <w:spacing w:after="120" w:before="160"/>
      </w:pPr>
      <w:r>
        <w:rPr>
          <w:b/>
          <w:i w:val="0"/>
          <w:sz w:val="22"/>
        </w:rPr>
        <w:t>3.2 Conversão em toneladas</w:t>
      </w:r>
    </w:p>
    <w:p>
      <w:pPr>
        <w:spacing w:after="120"/>
      </w:pPr>
      <w:r>
        <w:rPr>
          <w:b w:val="0"/>
          <w:i w:val="0"/>
        </w:rPr>
        <w:t>Aplicando a banda composicional oficial (Anexo B) recalculada para a geometria medida — pista de 8 m, calçada contada à parte: 0,661–0,861 t/m² de agregados na pista, dos quais 0,586–0,738 t/m² são produtos de britagem; e 0,126–0,175 t/m² na calçada: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1.236.048 m²</w:t>
            </w:r>
          </w:p>
        </w:tc>
        <w:tc>
          <w:tcPr>
            <w:tcW w:type="dxa" w:w="2160"/>
          </w:tcPr>
          <w:p>
            <w:r>
              <w:rPr>
                <w:sz w:val="18"/>
              </w:rPr>
              <w:t>817–1.064</w:t>
            </w:r>
          </w:p>
        </w:tc>
        <w:tc>
          <w:tcPr>
            <w:tcW w:type="dxa" w:w="2160"/>
          </w:tcPr>
          <w:p>
            <w:r>
              <w:rPr>
                <w:sz w:val="18"/>
              </w:rPr>
              <w:t>725–912</w:t>
            </w:r>
          </w:p>
        </w:tc>
      </w:tr>
      <w:tr>
        <w:tc>
          <w:tcPr>
            <w:tcW w:type="dxa" w:w="2160"/>
          </w:tcPr>
          <w:p>
            <w:r>
              <w:rPr>
                <w:sz w:val="18"/>
              </w:rPr>
              <w:t>Calçadas faltantes</w:t>
            </w:r>
          </w:p>
        </w:tc>
        <w:tc>
          <w:tcPr>
            <w:tcW w:type="dxa" w:w="2160"/>
          </w:tcPr>
          <w:p>
            <w:r>
              <w:rPr>
                <w:sz w:val="18"/>
              </w:rPr>
              <w:t>581.856 m²</w:t>
            </w:r>
          </w:p>
        </w:tc>
        <w:tc>
          <w:tcPr>
            <w:tcW w:type="dxa" w:w="2160"/>
          </w:tcPr>
          <w:p>
            <w:r>
              <w:rPr>
                <w:sz w:val="18"/>
              </w:rPr>
              <w:t>73–102</w:t>
            </w:r>
          </w:p>
        </w:tc>
        <w:tc>
          <w:tcPr>
            <w:tcW w:type="dxa" w:w="2160"/>
          </w:tcPr>
          <w:p>
            <w:r>
              <w:rPr>
                <w:sz w:val="18"/>
              </w:rPr>
              <w:t>40–56</w:t>
            </w:r>
          </w:p>
        </w:tc>
      </w:tr>
      <w:tr>
        <w:tc>
          <w:tcPr>
            <w:tcW w:type="dxa" w:w="2160"/>
          </w:tcPr>
          <w:p>
            <w:r>
              <w:rPr>
                <w:sz w:val="18"/>
              </w:rPr>
              <w:t>TOTAL A PAVIMENTAR</w:t>
            </w:r>
          </w:p>
        </w:tc>
        <w:tc>
          <w:tcPr>
            <w:tcW w:type="dxa" w:w="2160"/>
          </w:tcPr>
          <w:p>
            <w:r>
              <w:rPr>
                <w:sz w:val="18"/>
              </w:rPr>
            </w:r>
          </w:p>
        </w:tc>
        <w:tc>
          <w:tcPr>
            <w:tcW w:type="dxa" w:w="2160"/>
          </w:tcPr>
          <w:p>
            <w:r>
              <w:rPr>
                <w:sz w:val="18"/>
              </w:rPr>
              <w:t>891–1.166</w:t>
            </w:r>
          </w:p>
        </w:tc>
        <w:tc>
          <w:tcPr>
            <w:tcW w:type="dxa" w:w="2160"/>
          </w:tcPr>
          <w:p>
            <w:r>
              <w:rPr>
                <w:sz w:val="18"/>
              </w:rPr>
              <w:t>765–968</w:t>
            </w:r>
          </w:p>
        </w:tc>
      </w:tr>
    </w:tbl>
    <w:p>
      <w:pPr>
        <w:spacing w:after="120" w:before="160"/>
      </w:pPr>
      <w:r>
        <w:rPr>
          <w:b/>
          <w:i w:val="0"/>
          <w:sz w:val="22"/>
        </w:rPr>
        <w:t>3.3 O horizonte: três leituras</w:t>
      </w:r>
    </w:p>
    <w:p>
      <w:pPr>
        <w:spacing w:after="120"/>
      </w:pPr>
      <w:r>
        <w:rPr>
          <w:b w:val="0"/>
          <w:i w:val="0"/>
        </w:rPr>
        <w:t>(i) AS OBRAS CONTRATADAS SÃO O COMEÇO, NÃO O FIM. As Bacias 1 e 2 da macrodrenagem (~R$ 628 mi somados) cobrem cerca de 250.000 m² de pavimentação — 20,2% do que falta. Restam 986.048 m² SEM contrato, ou 80% da pavimentação de Guriri, equivalentes a 618–784 mil t de produtos de britagem que não estão em nenhuma das camadas catalogadas neste estudo.</w:t>
      </w:r>
    </w:p>
    <w:p>
      <w:pPr>
        <w:spacing w:after="120"/>
      </w:pPr>
      <w:r>
        <w:rPr>
          <w:b w:val="0"/>
          <w:i w:val="0"/>
        </w:rPr>
        <w:t>(ii) AO RITMO DO PRÓPRIO ESTADO, ISSO DURA DÉCADAS. A Bacia 1 executa 125.000 m² em 1.620 dias contratuais — 28.409 m²/ano. Nesse ritmo, concluir a pavimentação de Guriri leva 44 anos; com duas bacias correndo simultaneamente, 22 anos. O financiamento pleiteado é de 14 anos. Não é projeção nossa: é o cronograma contratual do Governo do Estado aplicado ao inventário medido.</w:t>
      </w:r>
    </w:p>
    <w:p>
      <w:pPr>
        <w:spacing w:after="120"/>
      </w:pPr>
      <w:r>
        <w:rPr>
          <w:b w:val="0"/>
          <w:i w:val="0"/>
        </w:rPr>
        <w:t>(iii) A ESCALA, EM UNIDADE DE PEDREIRA. O que falta pavimentar em Guriri equivale a 3,2 a 4,1 anos de produção INTEGRAL da CIPREM no platô de 237.516 t/ano — de um único balneário, dentro do município-sede. E as projeções do empreendimento incorporam 78–117 mil t no horizonte inteiro: 8% a 15% do potencial medido — cerca de um décimo.</w:t>
      </w:r>
    </w:p>
    <w:p>
      <w:pPr>
        <w:spacing w:after="120"/>
      </w:pPr>
      <w:r>
        <w:rPr>
          <w:b w:val="0"/>
          <w:i/>
          <w:color w:val="595959"/>
          <w:sz w:val="18"/>
        </w:rPr>
        <w:t>Nota de conservadorismo: nenhuma projeção de receita foi alterada por causa deste inventário. As vendas do plano seguem em 63 mil t (ano 1), 126 mil (ano 2) e 237.516 t/ano do ano 3 em diante; a captura ponderada segue em 207–245 mil t/ano; o mercado endereçável, em 421–577 mil t/ano.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checado em dupla passagem</w:t>
      </w:r>
    </w:p>
    <w:p>
      <w:pPr>
        <w:spacing w:after="120"/>
      </w:pPr>
      <w:r>
        <w:rPr>
          <w:b w:val="0"/>
          <w:i w:val="0"/>
          <w:sz w:val="19"/>
        </w:rPr>
        <w:t>O inventário viário do §3 tem verificação própria, feita pelo cliente e independente das duas auditorias anteriores: a extensão de cada via saiu dos projetos dos 21 loteamentos; o status de pavimentação foi levantado rua a rua em imagem de satélite por um revisor; e um SEGUNDO revisor reverificou o status a cada 350 metros de via. É a mesma disciplina de dupla passagem usada nas auditorias de cálculo, aplicada a dado de campo. Consistência aritmética conferida aqui: 38.868 + 154.506 = 193.373 m (fecha ao metro); 1.236.048 ÷ 154.506 = 8,00 m de largura média; 145.465 × 4 = 581.860 m² contra os 581.856 informados (4 m² de arredondamento). Pendência declarada: a quebra por loteamento não integra esta versão — quando anexada, permitirá auditar o inventário loteamento a loteamento.</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Composição oficial</w:t>
            </w:r>
          </w:p>
        </w:tc>
        <w:tc>
          <w:tcPr>
            <w:tcW w:type="dxa" w:w="2160"/>
          </w:tcPr>
          <w:p>
            <w:r>
              <w:rPr>
                <w:b/>
                <w:sz w:val="18"/>
              </w:rPr>
              <w:t>Conta</w:t>
            </w:r>
          </w:p>
        </w:tc>
        <w:tc>
          <w:tcPr>
            <w:tcW w:type="dxa" w:w="2160"/>
          </w:tcPr>
          <w:p>
            <w:r>
              <w:rPr>
                <w:b/>
                <w:sz w:val="18"/>
              </w:rPr>
              <w:t>t/m² de agregados</w:t>
            </w:r>
          </w:p>
        </w:tc>
      </w:tr>
      <w:tr>
        <w:tc>
          <w:tcPr>
            <w:tcW w:type="dxa" w:w="2160"/>
          </w:tcPr>
          <w:p>
            <w:r>
              <w:rPr>
                <w:sz w:val="18"/>
              </w:rPr>
              <w:t>Colchão de assentamento — pó de pedra, 10 cm</w:t>
            </w:r>
          </w:p>
        </w:tc>
        <w:tc>
          <w:tcPr>
            <w:tcW w:type="dxa" w:w="2160"/>
          </w:tcPr>
          <w:p>
            <w:r>
              <w:rPr>
                <w:sz w:val="18"/>
              </w:rPr>
              <w:t>DER-ES 200206 (0,10 m³/m²)</w:t>
            </w:r>
          </w:p>
        </w:tc>
        <w:tc>
          <w:tcPr>
            <w:tcW w:type="dxa" w:w="2160"/>
          </w:tcPr>
          <w:p>
            <w:r>
              <w:rPr>
                <w:sz w:val="18"/>
              </w:rPr>
              <w:t>0,10 m³ × 1,55–1,65 t/m³</w:t>
            </w:r>
          </w:p>
        </w:tc>
        <w:tc>
          <w:tcPr>
            <w:tcW w:type="dxa" w:w="2160"/>
          </w:tcPr>
          <w:p>
            <w:r>
              <w:rPr>
                <w:sz w:val="18"/>
              </w:rPr>
              <w:t>0,155–0,165</w:t>
            </w:r>
          </w:p>
        </w:tc>
      </w:tr>
      <w:tr>
        <w:tc>
          <w:tcPr>
            <w:tcW w:type="dxa" w:w="2160"/>
          </w:tcPr>
          <w:p>
            <w:r>
              <w:rPr>
                <w:sz w:val="18"/>
              </w:rPr>
              <w:t>Rejunte</w:t>
            </w:r>
          </w:p>
        </w:tc>
        <w:tc>
          <w:tcPr>
            <w:tcW w:type="dxa" w:w="2160"/>
          </w:tcPr>
          <w:p>
            <w:r>
              <w:rPr>
                <w:sz w:val="18"/>
              </w:rPr>
              <w:t>DER-ES 200206 (0,0098 m³/m²)</w:t>
            </w:r>
          </w:p>
        </w:tc>
        <w:tc>
          <w:tcPr>
            <w:tcW w:type="dxa" w:w="2160"/>
          </w:tcPr>
          <w:p>
            <w:r>
              <w:rPr>
                <w:sz w:val="18"/>
              </w:rPr>
              <w:t>× 1,45–1,50</w:t>
            </w:r>
          </w:p>
        </w:tc>
        <w:tc>
          <w:tcPr>
            <w:tcW w:type="dxa" w:w="2160"/>
          </w:tcPr>
          <w:p>
            <w:r>
              <w:rPr>
                <w:sz w:val="18"/>
              </w:rPr>
              <w:t>0,014–0,015</w:t>
            </w:r>
          </w:p>
        </w:tc>
      </w:tr>
      <w:tr>
        <w:tc>
          <w:tcPr>
            <w:tcW w:type="dxa" w:w="2160"/>
          </w:tcPr>
          <w:p>
            <w:r>
              <w:rPr>
                <w:sz w:val="18"/>
              </w:rPr>
              <w:t>Blocos intertravados 8 cm, 35 MPa (48 und/m²)</w:t>
            </w:r>
          </w:p>
        </w:tc>
        <w:tc>
          <w:tcPr>
            <w:tcW w:type="dxa" w:w="2160"/>
          </w:tcPr>
          <w:p>
            <w:r>
              <w:rPr>
                <w:sz w:val="18"/>
              </w:rPr>
              <w:t>DER-ES 200206 + traço vibroprensado</w:t>
            </w:r>
          </w:p>
        </w:tc>
        <w:tc>
          <w:tcPr>
            <w:tcW w:type="dxa" w:w="2160"/>
          </w:tcPr>
          <w:p>
            <w:r>
              <w:rPr>
                <w:sz w:val="18"/>
              </w:rPr>
              <w:t>0,08 m³ de concreto × 1,85–1,95 t de agregado/m³</w:t>
            </w:r>
          </w:p>
        </w:tc>
        <w:tc>
          <w:tcPr>
            <w:tcW w:type="dxa" w:w="2160"/>
          </w:tcPr>
          <w:p>
            <w:r>
              <w:rPr>
                <w:sz w:val="18"/>
              </w:rPr>
              <w:t>0,148–0,156</w:t>
            </w:r>
          </w:p>
        </w:tc>
      </w:tr>
      <w:tr>
        <w:tc>
          <w:tcPr>
            <w:tcW w:type="dxa" w:w="2160"/>
          </w:tcPr>
          <w:p>
            <w:r>
              <w:rPr>
                <w:sz w:val="18"/>
              </w:rPr>
              <w:t>Base — brita graduada simples 12–15 cm</w:t>
            </w:r>
          </w:p>
        </w:tc>
        <w:tc>
          <w:tcPr>
            <w:tcW w:type="dxa" w:w="2160"/>
          </w:tcPr>
          <w:p>
            <w:r>
              <w:rPr>
                <w:sz w:val="18"/>
              </w:rPr>
              <w:t>SINAPI 96396/105727</w:t>
            </w:r>
          </w:p>
        </w:tc>
        <w:tc>
          <w:tcPr>
            <w:tcW w:type="dxa" w:w="2160"/>
          </w:tcPr>
          <w:p>
            <w:r>
              <w:rPr>
                <w:sz w:val="18"/>
              </w:rPr>
              <w:t>0,12–0,15 m³ × 2,15–2,25 t/m³ compactada</w:t>
            </w:r>
          </w:p>
        </w:tc>
        <w:tc>
          <w:tcPr>
            <w:tcW w:type="dxa" w:w="2160"/>
          </w:tcPr>
          <w:p>
            <w:r>
              <w:rPr>
                <w:sz w:val="18"/>
              </w:rPr>
              <w:t>0,258–0,337</w:t>
            </w:r>
          </w:p>
        </w:tc>
      </w:tr>
      <w:tr>
        <w:tc>
          <w:tcPr>
            <w:tcW w:type="dxa" w:w="2160"/>
          </w:tcPr>
          <w:p>
            <w:r>
              <w:rPr>
                <w:sz w:val="18"/>
              </w:rPr>
              <w:t>Meio-fio 15×30 cm, 2 lados</w:t>
            </w:r>
          </w:p>
        </w:tc>
        <w:tc>
          <w:tcPr>
            <w:tcW w:type="dxa" w:w="2160"/>
          </w:tcPr>
          <w:p>
            <w:r>
              <w:rPr>
                <w:sz w:val="18"/>
              </w:rPr>
              <w:t>DER-ES 200202</w:t>
            </w:r>
          </w:p>
        </w:tc>
        <w:tc>
          <w:tcPr>
            <w:tcW w:type="dxa" w:w="2160"/>
          </w:tcPr>
          <w:p>
            <w:r>
              <w:rPr>
                <w:sz w:val="18"/>
              </w:rPr>
              <w:t>0,045 m³/m × 2 ÷ 8 m × 2,10–2,19</w:t>
            </w:r>
          </w:p>
        </w:tc>
        <w:tc>
          <w:tcPr>
            <w:tcW w:type="dxa" w:w="2160"/>
          </w:tcPr>
          <w:p>
            <w:r>
              <w:rPr>
                <w:sz w:val="18"/>
              </w:rPr>
              <w:t>0,024–0,025</w:t>
            </w:r>
          </w:p>
        </w:tc>
      </w:tr>
      <w:tr>
        <w:tc>
          <w:tcPr>
            <w:tcW w:type="dxa" w:w="2160"/>
          </w:tcPr>
          <w:p>
            <w:r>
              <w:rPr>
                <w:sz w:val="18"/>
              </w:rPr>
              <w:t>Sarjeta 30×8 cm, 2 lados</w:t>
            </w:r>
          </w:p>
        </w:tc>
        <w:tc>
          <w:tcPr>
            <w:tcW w:type="dxa" w:w="2160"/>
          </w:tcPr>
          <w:p>
            <w:r>
              <w:rPr>
                <w:sz w:val="18"/>
              </w:rPr>
              <w:t>análoga DER-ES 200229</w:t>
            </w:r>
          </w:p>
        </w:tc>
        <w:tc>
          <w:tcPr>
            <w:tcW w:type="dxa" w:w="2160"/>
          </w:tcPr>
          <w:p>
            <w:r>
              <w:rPr>
                <w:sz w:val="18"/>
              </w:rPr>
              <w:t>0,048 m³/m ÷ 8 × 2,10–2,19</w:t>
            </w:r>
          </w:p>
        </w:tc>
        <w:tc>
          <w:tcPr>
            <w:tcW w:type="dxa" w:w="2160"/>
          </w:tcPr>
          <w:p>
            <w:r>
              <w:rPr>
                <w:sz w:val="18"/>
              </w:rPr>
              <w:t>0,013</w:t>
            </w:r>
          </w:p>
        </w:tc>
      </w:tr>
      <w:tr>
        <w:tc>
          <w:tcPr>
            <w:tcW w:type="dxa" w:w="2160"/>
          </w:tcPr>
          <w:p>
            <w:r>
              <w:rPr>
                <w:sz w:val="18"/>
              </w:rPr>
              <w:t>Drenagem superficial (bocas de lobo, ramais, caixas)</w:t>
            </w:r>
          </w:p>
        </w:tc>
        <w:tc>
          <w:tcPr>
            <w:tcW w:type="dxa" w:w="2160"/>
          </w:tcPr>
          <w:p>
            <w:r>
              <w:rPr>
                <w:sz w:val="18"/>
              </w:rPr>
              <w:t>PREMISSA declarada</w:t>
            </w:r>
          </w:p>
        </w:tc>
        <w:tc>
          <w:tcPr>
            <w:tcW w:type="dxa" w:w="2160"/>
          </w:tcPr>
          <w:p>
            <w:r>
              <w:rPr>
                <w:sz w:val="18"/>
              </w:rPr>
              <w:t>ordem de grandeza</w:t>
            </w:r>
          </w:p>
        </w:tc>
        <w:tc>
          <w:tcPr>
            <w:tcW w:type="dxa" w:w="2160"/>
          </w:tcPr>
          <w:p>
            <w:r>
              <w:rPr>
                <w:sz w:val="18"/>
              </w:rPr>
              <w:t>0,050–0,150</w:t>
            </w:r>
          </w:p>
        </w:tc>
      </w:tr>
      <w:tr>
        <w:tc>
          <w:tcPr>
            <w:tcW w:type="dxa" w:w="2160"/>
          </w:tcPr>
          <w:p>
            <w:r>
              <w:rPr>
                <w:sz w:val="18"/>
              </w:rPr>
              <w:t>TOTAL DA PISTA — AGREGADOS</w:t>
            </w:r>
          </w:p>
        </w:tc>
        <w:tc>
          <w:tcPr>
            <w:tcW w:type="dxa" w:w="2160"/>
          </w:tcPr>
          <w:p>
            <w:r>
              <w:rPr>
                <w:sz w:val="18"/>
              </w:rPr>
            </w:r>
          </w:p>
        </w:tc>
        <w:tc>
          <w:tcPr>
            <w:tcW w:type="dxa" w:w="2160"/>
          </w:tcPr>
          <w:p>
            <w:r>
              <w:rPr>
                <w:sz w:val="18"/>
              </w:rPr>
            </w:r>
          </w:p>
        </w:tc>
        <w:tc>
          <w:tcPr>
            <w:tcW w:type="dxa" w:w="2160"/>
          </w:tcPr>
          <w:p>
            <w:r>
              <w:rPr>
                <w:sz w:val="18"/>
              </w:rPr>
              <w:t>0,661–0,861</w:t>
            </w:r>
          </w:p>
        </w:tc>
      </w:tr>
      <w:tr>
        <w:tc>
          <w:tcPr>
            <w:tcW w:type="dxa" w:w="2160"/>
          </w:tcPr>
          <w:p>
            <w:r>
              <w:rPr>
                <w:sz w:val="18"/>
              </w:rPr>
              <w:t>dos quais PRODUTOS DE BRITAGEM (pó + BGS + gravilha dos blocos + brita dos concretos; exclui areia natural)</w:t>
            </w:r>
          </w:p>
        </w:tc>
        <w:tc>
          <w:tcPr>
            <w:tcW w:type="dxa" w:w="2160"/>
          </w:tcPr>
          <w:p>
            <w:r>
              <w:rPr>
                <w:sz w:val="18"/>
              </w:rPr>
            </w:r>
          </w:p>
        </w:tc>
        <w:tc>
          <w:tcPr>
            <w:tcW w:type="dxa" w:w="2160"/>
          </w:tcPr>
          <w:p>
            <w:r>
              <w:rPr>
                <w:sz w:val="18"/>
              </w:rPr>
            </w:r>
          </w:p>
        </w:tc>
        <w:tc>
          <w:tcPr>
            <w:tcW w:type="dxa" w:w="2160"/>
          </w:tcPr>
          <w:p>
            <w:r>
              <w:rPr>
                <w:sz w:val="18"/>
              </w:rPr>
              <w:t>0,586–0,738</w:t>
            </w:r>
          </w:p>
        </w:tc>
      </w:tr>
      <w:tr>
        <w:tc>
          <w:tcPr>
            <w:tcW w:type="dxa" w:w="2160"/>
          </w:tcPr>
          <w:p>
            <w:r>
              <w:rPr>
                <w:sz w:val="18"/>
              </w:rPr>
              <w:t>CALÇADA — lastro de concreto 6–8 cm (linha própria)</w:t>
            </w:r>
          </w:p>
        </w:tc>
        <w:tc>
          <w:tcPr>
            <w:tcW w:type="dxa" w:w="2160"/>
          </w:tcPr>
          <w:p>
            <w:r>
              <w:rPr>
                <w:sz w:val="18"/>
              </w:rPr>
              <w:t>DER-ES 130110</w:t>
            </w:r>
          </w:p>
        </w:tc>
        <w:tc>
          <w:tcPr>
            <w:tcW w:type="dxa" w:w="2160"/>
          </w:tcPr>
          <w:p>
            <w:r>
              <w:rPr>
                <w:sz w:val="18"/>
              </w:rPr>
              <w:t>0,06–0,08 m³ × 2,10–2,19</w:t>
            </w:r>
          </w:p>
        </w:tc>
        <w:tc>
          <w:tcPr>
            <w:tcW w:type="dxa" w:w="216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Coeficiente</w:t>
            </w:r>
          </w:p>
        </w:tc>
        <w:tc>
          <w:tcPr>
            <w:tcW w:type="dxa" w:w="2160"/>
          </w:tcPr>
          <w:p>
            <w:r>
              <w:rPr>
                <w:b/>
                <w:sz w:val="18"/>
              </w:rPr>
              <w:t>Faixa (mín–máx)</w:t>
            </w:r>
          </w:p>
        </w:tc>
        <w:tc>
          <w:tcPr>
            <w:tcW w:type="dxa" w:w="2160"/>
          </w:tcPr>
          <w:p>
            <w:r>
              <w:rPr>
                <w:b/>
                <w:sz w:val="18"/>
              </w:rPr>
              <w:t>Fonte primária</w:t>
            </w:r>
          </w:p>
        </w:tc>
        <w:tc>
          <w:tcPr>
            <w:tcW w:type="dxa" w:w="2160"/>
          </w:tcPr>
          <w:p>
            <w:r>
              <w:rPr>
                <w:b/>
                <w:sz w:val="18"/>
              </w:rPr>
              <w:t>Status</w:t>
            </w:r>
          </w:p>
        </w:tc>
      </w:tr>
      <w:tr>
        <w:tc>
          <w:tcPr>
            <w:tcW w:type="dxa" w:w="2160"/>
          </w:tcPr>
          <w:p>
            <w:r>
              <w:rPr>
                <w:sz w:val="18"/>
              </w:rPr>
              <w:t>Rodovia nova, 2 faixas</w:t>
            </w:r>
          </w:p>
        </w:tc>
        <w:tc>
          <w:tcPr>
            <w:tcW w:type="dxa" w:w="2160"/>
          </w:tcPr>
          <w:p>
            <w:r>
              <w:rPr>
                <w:sz w:val="18"/>
              </w:rPr>
              <w:t>9.800 t/km (setorial); banda composicional 6,1–11,0 mil t/km</w:t>
            </w:r>
          </w:p>
        </w:tc>
        <w:tc>
          <w:tcPr>
            <w:tcW w:type="dxa" w:w="216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160"/>
          </w:tcPr>
          <w:p>
            <w:r>
              <w:rPr>
                <w:sz w:val="18"/>
              </w:rPr>
              <w:t>SETORIAL com hospedagem institucional + validação composicional</w:t>
            </w:r>
          </w:p>
        </w:tc>
      </w:tr>
      <w:tr>
        <w:tc>
          <w:tcPr>
            <w:tcW w:type="dxa" w:w="2160"/>
          </w:tcPr>
          <w:p>
            <w:r>
              <w:rPr>
                <w:sz w:val="18"/>
              </w:rPr>
              <w:t>Manutenção de rodovia</w:t>
            </w:r>
          </w:p>
        </w:tc>
        <w:tc>
          <w:tcPr>
            <w:tcW w:type="dxa" w:w="2160"/>
          </w:tcPr>
          <w:p>
            <w:r>
              <w:rPr>
                <w:sz w:val="18"/>
              </w:rPr>
              <w:t>3.000 t/km</w:t>
            </w:r>
          </w:p>
        </w:tc>
        <w:tc>
          <w:tcPr>
            <w:tcW w:type="dxa" w:w="2160"/>
          </w:tcPr>
          <w:p>
            <w:r>
              <w:rPr>
                <w:sz w:val="18"/>
              </w:rPr>
              <w:t>mesma tabela ANEPAC/CETEM</w:t>
            </w:r>
          </w:p>
        </w:tc>
        <w:tc>
          <w:tcPr>
            <w:tcW w:type="dxa" w:w="2160"/>
          </w:tcPr>
          <w:p>
            <w:r>
              <w:rPr>
                <w:sz w:val="18"/>
              </w:rPr>
              <w:t>SETORIAL (não usada nas somas)</w:t>
            </w:r>
          </w:p>
        </w:tc>
      </w:tr>
      <w:tr>
        <w:tc>
          <w:tcPr>
            <w:tcW w:type="dxa" w:w="2160"/>
          </w:tcPr>
          <w:p>
            <w:r>
              <w:rPr>
                <w:sz w:val="18"/>
              </w:rPr>
              <w:t>Pavimentação urbana SIMPLES (pista 10 m)</w:t>
            </w:r>
          </w:p>
        </w:tc>
        <w:tc>
          <w:tcPr>
            <w:tcW w:type="dxa" w:w="2160"/>
          </w:tcPr>
          <w:p>
            <w:r>
              <w:rPr>
                <w:sz w:val="18"/>
              </w:rPr>
              <w:t>2.000–3.250 t/km = 0,20–0,33 t/m²</w:t>
            </w:r>
          </w:p>
        </w:tc>
        <w:tc>
          <w:tcPr>
            <w:tcW w:type="dxa" w:w="2160"/>
          </w:tcPr>
          <w:p>
            <w:r>
              <w:rPr>
                <w:sz w:val="18"/>
              </w:rPr>
              <w:t>mesma tabela ANEPAC/CETEM</w:t>
            </w:r>
          </w:p>
        </w:tc>
        <w:tc>
          <w:tcPr>
            <w:tcW w:type="dxa" w:w="2160"/>
          </w:tcPr>
          <w:p>
            <w:r>
              <w:rPr>
                <w:sz w:val="18"/>
              </w:rPr>
              <w:t>SETORIAL — NÃO usada: cobre só recapeamento de pista</w:t>
            </w:r>
          </w:p>
        </w:tc>
      </w:tr>
      <w:tr>
        <w:tc>
          <w:tcPr>
            <w:tcW w:type="dxa" w:w="2160"/>
          </w:tcPr>
          <w:p>
            <w:r>
              <w:rPr>
                <w:sz w:val="18"/>
              </w:rPr>
              <w:t>Urbanização COMPLETA em intertravado sobre areia (Guriri)</w:t>
            </w:r>
          </w:p>
        </w:tc>
        <w:tc>
          <w:tcPr>
            <w:tcW w:type="dxa" w:w="2160"/>
          </w:tcPr>
          <w:p>
            <w:r>
              <w:rPr>
                <w:sz w:val="18"/>
              </w:rPr>
              <w:t>0,73–0,93 t/m² de agregados; 0,62–0,78 t/m² de produtos de britagem</w:t>
            </w:r>
          </w:p>
        </w:tc>
        <w:tc>
          <w:tcPr>
            <w:tcW w:type="dxa" w:w="2160"/>
          </w:tcPr>
          <w:p>
            <w:r>
              <w:rPr>
                <w:sz w:val="18"/>
              </w:rPr>
              <w:t>Derivação própria pelas composições oficiais DER-ES/LABOR-UFES 040237, 200206, 200202, 200223, 200323, 130110 e SINAPI-ES 96396/95995 (Anexo B)</w:t>
            </w:r>
          </w:p>
        </w:tc>
        <w:tc>
          <w:tcPr>
            <w:tcW w:type="dxa" w:w="2160"/>
          </w:tcPr>
          <w:p>
            <w:r>
              <w:rPr>
                <w:sz w:val="18"/>
              </w:rPr>
              <w:t>COMPOSICIONAL (tabelas oficiais; drenagem superficial = premissa declarada)</w:t>
            </w:r>
          </w:p>
        </w:tc>
      </w:tr>
      <w:tr>
        <w:tc>
          <w:tcPr>
            <w:tcW w:type="dxa" w:w="2160"/>
          </w:tcPr>
          <w:p>
            <w:r>
              <w:rPr>
                <w:sz w:val="18"/>
              </w:rPr>
              <w:t>Edificação</w:t>
            </w:r>
          </w:p>
        </w:tc>
        <w:tc>
          <w:tcPr>
            <w:tcW w:type="dxa" w:w="2160"/>
          </w:tcPr>
          <w:p>
            <w:r>
              <w:rPr>
                <w:sz w:val="18"/>
              </w:rPr>
              <w:t>1.360 t por 1.000 m² (1,36 t/m²)</w:t>
            </w:r>
          </w:p>
        </w:tc>
        <w:tc>
          <w:tcPr>
            <w:tcW w:type="dxa" w:w="2160"/>
          </w:tcPr>
          <w:p>
            <w:r>
              <w:rPr>
                <w:sz w:val="18"/>
              </w:rPr>
              <w:t>tabela ANEPAC/Senado/CETEM</w:t>
            </w:r>
          </w:p>
        </w:tc>
        <w:tc>
          <w:tcPr>
            <w:tcW w:type="dxa" w:w="2160"/>
          </w:tcPr>
          <w:p>
            <w:r>
              <w:rPr>
                <w:sz w:val="18"/>
              </w:rPr>
              <w:t>SETORIAL — não entra nas somas (nenhuma edificação contada); foi usada POR ENGANO como fator de pavimentação em versão anterior — corrigido nesta</w:t>
            </w:r>
          </w:p>
        </w:tc>
      </w:tr>
      <w:tr>
        <w:tc>
          <w:tcPr>
            <w:tcW w:type="dxa" w:w="2160"/>
          </w:tcPr>
          <w:p>
            <w:r>
              <w:rPr>
                <w:sz w:val="18"/>
              </w:rPr>
              <w:t>Terceira faixa rodoviária</w:t>
            </w:r>
          </w:p>
        </w:tc>
        <w:tc>
          <w:tcPr>
            <w:tcW w:type="dxa" w:w="2160"/>
          </w:tcPr>
          <w:p>
            <w:r>
              <w:rPr>
                <w:sz w:val="18"/>
              </w:rPr>
              <w:t>30–50% de uma pista nova</w:t>
            </w:r>
          </w:p>
        </w:tc>
        <w:tc>
          <w:tcPr>
            <w:tcW w:type="dxa" w:w="2160"/>
          </w:tcPr>
          <w:p>
            <w:r>
              <w:rPr>
                <w:sz w:val="18"/>
              </w:rPr>
              <w:t>premissa nossa (1 faixa de 3,5–3,6 m + recomposição, sobre pista de 7,2–10 m)</w:t>
            </w:r>
          </w:p>
        </w:tc>
        <w:tc>
          <w:tcPr>
            <w:tcW w:type="dxa" w:w="2160"/>
          </w:tcPr>
          <w:p>
            <w:r>
              <w:rPr>
                <w:sz w:val="18"/>
              </w:rPr>
              <w:t>PREMISSA declarada</w:t>
            </w:r>
          </w:p>
        </w:tc>
      </w:tr>
      <w:tr>
        <w:tc>
          <w:tcPr>
            <w:tcW w:type="dxa" w:w="2160"/>
          </w:tcPr>
          <w:p>
            <w:r>
              <w:rPr>
                <w:sz w:val="18"/>
              </w:rPr>
              <w:t>Galeria de concreto</w:t>
            </w:r>
          </w:p>
        </w:tc>
        <w:tc>
          <w:tcPr>
            <w:tcW w:type="dxa" w:w="2160"/>
          </w:tcPr>
          <w:p>
            <w:r>
              <w:rPr>
                <w:sz w:val="18"/>
              </w:rPr>
              <w:t>2,4–4,0 m³ de concreto/m (mix simples–tripla) = 5,0–8,8 t/m</w:t>
            </w:r>
          </w:p>
        </w:tc>
        <w:tc>
          <w:tcPr>
            <w:tcW w:type="dxa" w:w="2160"/>
          </w:tcPr>
          <w:p>
            <w:r>
              <w:rPr>
                <w:sz w:val="18"/>
              </w:rPr>
              <w:t>geometria de seção (Anexo B) × insumos do concreto DER-ES 040237</w:t>
            </w:r>
          </w:p>
        </w:tc>
        <w:tc>
          <w:tcPr>
            <w:tcW w:type="dxa" w:w="2160"/>
          </w:tcPr>
          <w:p>
            <w:r>
              <w:rPr>
                <w:sz w:val="18"/>
              </w:rPr>
              <w:t>PREMISSA de seção × COMPOSICIONAL</w:t>
            </w:r>
          </w:p>
        </w:tc>
      </w:tr>
      <w:tr>
        <w:tc>
          <w:tcPr>
            <w:tcW w:type="dxa" w:w="2160"/>
          </w:tcPr>
          <w:p>
            <w:r>
              <w:rPr>
                <w:sz w:val="18"/>
              </w:rPr>
              <w:t>Agregados no concreto estrutural</w:t>
            </w:r>
          </w:p>
        </w:tc>
        <w:tc>
          <w:tcPr>
            <w:tcW w:type="dxa" w:w="2160"/>
          </w:tcPr>
          <w:p>
            <w:r>
              <w:rPr>
                <w:sz w:val="18"/>
              </w:rPr>
              <w:t>2,10–2,19 t/m³ (compra), sendo 1,14–1,20 t de brita</w:t>
            </w:r>
          </w:p>
        </w:tc>
        <w:tc>
          <w:tcPr>
            <w:tcW w:type="dxa" w:w="2160"/>
          </w:tcPr>
          <w:p>
            <w:r>
              <w:rPr>
                <w:sz w:val="18"/>
              </w:rPr>
              <w:t>composição DER-ES 040237 (FCK 25): brita 1+2 = 0,8022 m³ + areia 0,6594 m³</w:t>
            </w:r>
          </w:p>
        </w:tc>
        <w:tc>
          <w:tcPr>
            <w:tcW w:type="dxa" w:w="2160"/>
          </w:tcPr>
          <w:p>
            <w:r>
              <w:rPr>
                <w:sz w:val="18"/>
              </w:rPr>
              <w:t>OFICIAL (tabela referencial)</w:t>
            </w:r>
          </w:p>
        </w:tc>
      </w:tr>
      <w:tr>
        <w:tc>
          <w:tcPr>
            <w:tcW w:type="dxa" w:w="2160"/>
          </w:tcPr>
          <w:p>
            <w:r>
              <w:rPr>
                <w:sz w:val="18"/>
              </w:rPr>
              <w:t>Participação da brita no mix de agregados</w:t>
            </w:r>
          </w:p>
        </w:tc>
        <w:tc>
          <w:tcPr>
            <w:tcW w:type="dxa" w:w="2160"/>
          </w:tcPr>
          <w:p>
            <w:r>
              <w:rPr>
                <w:sz w:val="18"/>
              </w:rPr>
              <w:t>40–45% (adotado 42%)</w:t>
            </w:r>
          </w:p>
        </w:tc>
        <w:tc>
          <w:tcPr>
            <w:tcW w:type="dxa" w:w="2160"/>
          </w:tcPr>
          <w:p>
            <w:r>
              <w:rPr>
                <w:sz w:val="18"/>
              </w:rPr>
              <w:t>Produção nacional ANEPAC (página Mercado): 2022 = 640 Mt, sendo 374 de areia e 266 de brita → 41,56%; 2023 → 41,59%; 2020 → 41,65% [Anexo A-2]</w:t>
            </w:r>
          </w:p>
        </w:tc>
        <w:tc>
          <w:tcPr>
            <w:tcW w:type="dxa" w:w="2160"/>
          </w:tcPr>
          <w:p>
            <w:r>
              <w:rPr>
                <w:sz w:val="18"/>
              </w:rPr>
              <w:t>SETORIAL — usada como PISO nas obras (em rodovia e intertravado a participação real de produtos de britagem é maior, 63–94%)</w:t>
            </w:r>
          </w:p>
        </w:tc>
      </w:tr>
      <w:tr>
        <w:tc>
          <w:tcPr>
            <w:tcW w:type="dxa" w:w="2160"/>
          </w:tcPr>
          <w:p>
            <w:r>
              <w:rPr>
                <w:sz w:val="18"/>
              </w:rPr>
              <w:t>Índice de consumo de brita per capita (demanda corrente)</w:t>
            </w:r>
          </w:p>
        </w:tc>
        <w:tc>
          <w:tcPr>
            <w:tcW w:type="dxa" w:w="2160"/>
          </w:tcPr>
          <w:p>
            <w:r>
              <w:rPr>
                <w:sz w:val="18"/>
              </w:rPr>
              <w:t>1,669 t/hab/ano</w:t>
            </w:r>
          </w:p>
        </w:tc>
        <w:tc>
          <w:tcPr>
            <w:tcW w:type="dxa" w:w="2160"/>
          </w:tcPr>
          <w:p>
            <w:r>
              <w:rPr>
                <w:sz w:val="18"/>
              </w:rPr>
              <w:t>OFICIAL: vendas declaradas à ANM no RAL 2025 (6.888.010,58 t) ÷ população ES; a convergência ANEPAC (4,1 × ~41,6% ≈ 1,7) é só checagem</w:t>
            </w:r>
          </w:p>
        </w:tc>
        <w:tc>
          <w:tcPr>
            <w:tcW w:type="dxa" w:w="2160"/>
          </w:tcPr>
          <w:p>
            <w:r>
              <w:rPr>
                <w:sz w:val="18"/>
              </w:rPr>
              <w:t>OFICIAL (ANM/RAL) — a demanda corrente NÃO depende da tabela setorial</w:t>
            </w:r>
          </w:p>
        </w:tc>
      </w:tr>
      <w:tr>
        <w:tc>
          <w:tcPr>
            <w:tcW w:type="dxa" w:w="2160"/>
          </w:tcPr>
          <w:p>
            <w:r>
              <w:rPr>
                <w:sz w:val="18"/>
              </w:rPr>
              <w:t>Densidades de conversão</w:t>
            </w:r>
          </w:p>
        </w:tc>
        <w:tc>
          <w:tcPr>
            <w:tcW w:type="dxa" w:w="2160"/>
          </w:tcPr>
          <w:p>
            <w:r>
              <w:rPr>
                <w:sz w:val="18"/>
              </w:rPr>
              <w:t>brita solta 1,42–1,50 · pó 1,55–1,65 · BGS compactada 2,15–2,25 · CBUQ 2,35–2,45 (94% agregado) t/m³</w:t>
            </w:r>
          </w:p>
        </w:tc>
        <w:tc>
          <w:tcPr>
            <w:tcW w:type="dxa" w:w="2160"/>
          </w:tcPr>
          <w:p>
            <w:r>
              <w:rPr>
                <w:sz w:val="18"/>
              </w:rPr>
              <w:t>referências técnicas usuais (DNIT/NBR); empolamentos das próprias composições DER-ES (1,2 · 1,05 · 1,1)</w:t>
            </w:r>
          </w:p>
        </w:tc>
        <w:tc>
          <w:tcPr>
            <w:tcW w:type="dxa" w:w="216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Tipo de obra</w:t>
            </w:r>
          </w:p>
        </w:tc>
        <w:tc>
          <w:tcPr>
            <w:tcW w:type="dxa" w:w="4320"/>
          </w:tcPr>
          <w:p>
            <w:r>
              <w:rPr>
                <w:b/>
                <w:sz w:val="18"/>
              </w:rPr>
              <w:t>Produtos da CIPREM e participação aproximada</w:t>
            </w:r>
          </w:p>
        </w:tc>
      </w:tr>
      <w:tr>
        <w:tc>
          <w:tcPr>
            <w:tcW w:type="dxa" w:w="4320"/>
          </w:tcPr>
          <w:p>
            <w:r>
              <w:rPr>
                <w:sz w:val="18"/>
              </w:rPr>
              <w:t>Galerias e pontes (concreto estrutural)</w:t>
            </w:r>
          </w:p>
        </w:tc>
        <w:tc>
          <w:tcPr>
            <w:tcW w:type="dxa" w:w="4320"/>
          </w:tcPr>
          <w:p>
            <w:r>
              <w:rPr>
                <w:sz w:val="18"/>
              </w:rPr>
              <w:t>brita 1 e brita 2: 54–57% da massa de agregados do concreto (composição 040237); areia 43–46% — substituível em parte por pó/areia industrial da própria pedreira</w:t>
            </w:r>
          </w:p>
        </w:tc>
      </w:tr>
      <w:tr>
        <w:tc>
          <w:tcPr>
            <w:tcW w:type="dxa" w:w="4320"/>
          </w:tcPr>
          <w:p>
            <w:r>
              <w:rPr>
                <w:sz w:val="18"/>
              </w:rPr>
              <w:t>Bases e sub-bases (rodovias e vias urbanas)</w:t>
            </w:r>
          </w:p>
        </w:tc>
        <w:tc>
          <w:tcPr>
            <w:tcW w:type="dxa" w:w="4320"/>
          </w:tcPr>
          <w:p>
            <w:r>
              <w:rPr>
                <w:sz w:val="18"/>
              </w:rPr>
              <w:t>BGS: 100% produto de britagem</w:t>
            </w:r>
          </w:p>
        </w:tc>
      </w:tr>
      <w:tr>
        <w:tc>
          <w:tcPr>
            <w:tcW w:type="dxa" w:w="4320"/>
          </w:tcPr>
          <w:p>
            <w:r>
              <w:rPr>
                <w:sz w:val="18"/>
              </w:rPr>
              <w:t>Capas asfálticas (CBUQ)</w:t>
            </w:r>
          </w:p>
        </w:tc>
        <w:tc>
          <w:tcPr>
            <w:tcW w:type="dxa" w:w="4320"/>
          </w:tcPr>
          <w:p>
            <w:r>
              <w:rPr>
                <w:sz w:val="18"/>
              </w:rPr>
              <w:t>pedrisco + pó de pedra: ~94% da massa da mistura</w:t>
            </w:r>
          </w:p>
        </w:tc>
      </w:tr>
      <w:tr>
        <w:tc>
          <w:tcPr>
            <w:tcW w:type="dxa" w:w="4320"/>
          </w:tcPr>
          <w:p>
            <w:r>
              <w:rPr>
                <w:sz w:val="18"/>
              </w:rPr>
              <w:t>Pavimento intertravado</w:t>
            </w:r>
          </w:p>
        </w:tc>
        <w:tc>
          <w:tcPr>
            <w:tcW w:type="dxa" w:w="4320"/>
          </w:tcPr>
          <w:p>
            <w:r>
              <w:rPr>
                <w:sz w:val="18"/>
              </w:rPr>
              <w:t>pó de pedra no colchão e rejunte (0,10 m³/m², composição 200206); gravilha/pedrisco + pó nos blocos, via fábricas de pré-moldados (48 und/m²)</w:t>
            </w:r>
          </w:p>
        </w:tc>
      </w:tr>
      <w:tr>
        <w:tc>
          <w:tcPr>
            <w:tcW w:type="dxa" w:w="4320"/>
          </w:tcPr>
          <w:p>
            <w:r>
              <w:rPr>
                <w:sz w:val="18"/>
              </w:rPr>
              <w:t>Lastros, drenos e bota-espera</w:t>
            </w:r>
          </w:p>
        </w:tc>
        <w:tc>
          <w:tcPr>
            <w:tcW w:type="dxa" w:w="432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