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aproximadamente 35 km da sede de São Mateus.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A confirmar: </w:t>
      </w:r>
      <w:r>
        <w:t xml:space="preserve">coordenada exata da boca da jazida (km ~35) e poligonal no SIGMINE/ANM;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Corredor de Nestor Gomes (km 13–41) — proximidade imediata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10 km × MCL 45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35 km × MCL 62 km — concorrente de volume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+24,6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mesma praça, outro rival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35 km × Usibrita 40 km — concorrente de preço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+4,5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27,5 mil hab (Censo 2022)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69 km × Mattar 68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−0,9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34 km × MCL 26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−7,3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32 km × MCL local 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−24,6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 km × Usibrita local 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−29,1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95 km × Mattar 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−31,9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87 km × Mattar 50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−33,7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44 km × Mattar local 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−35,5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própria regra de frete escrita na tabela de preços do grupo ("Carreta: 0,91 × volume (T) × KM"), conservadora frente aos R$ 0,78/t·km do SICRO/DNIT. Populações: IBGE, estimativas 2025 (Censo 2022 para Conceição da Barra, Montanha e Vila Pavão). Distâncias rodoviárias apuradas em sites de rotas (ago/2026), todas submetidas ao teste de sanidade rodovia ≥ linha reta entre coordenadas — teste que corrigiu duas distâncias da versão anterior: Boa Esperança, cuja rota bifurca cerca de 50° fora do eixo da estrada de Nestor Gomes e passa de 25 para 32–36 km, e Rio Bananal, de 73 para ~100 km. A decomposição a partir do marco km 35 só é válida para praças no mesmo tronco. Recomenda-se refino por roteirizador, a partir da coordenada da boca da jazida, na versão de protocolo. Fora do raio econômico e por isso ausentes da tabela: São Gabriel da Palha (34,3 mil hab, 75–90 km) e Vila Pavão (8,9 mil hab, 62 km), esta última polo de granito ornamental.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subestima a posição da CIPREM. O concorrente de preço em São Mateus é a Usibrita, a 40 km contra 35 km da CIPREM: margem de apenas R$ 4,5/t, o que a torna referência de preço na praça. Mas ela vendeu cerca de 5 mil t em 2025 (item 6.1) — menos de um quinto da demanda do próprio município de Jaguaré, onde está instalada. Não tem escala para disputar volume. Quem limita volume é a MCL, a 62 km, e contra ela a vantagem da CIPREM é de R$ 24,6/t — cerca de um quarto do preço posto na obra. A conclusão prática: a Usibrita ancora o preço, a MCL define o volume disputável, e a CIPREM entra com vantagem estrutural sobre a segunda sem precisar romper o preço da primeira.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~29–32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~62 km (unidade) / ~67 km (sede NV)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~44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~62 km da sede de São Mateus (unidade Pedra do Elefante; a sede de Nova Venécia está a ~67 km), a Mattar a ~70 km (Pinheiros) e a Sangali a ~100 km (Rio Bananal); a CIPREM produziria a ~35 km — e a Usibrita, único produtor do entorno imediato, a ~40 km,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R$ 29,1/t, e a CIPREM só entra ali por CIF e serviço, contra um incumbente sem capacidade instalada para atender a demanda local.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— Grupo Colombi, unidade Pedra do Elefante / ES-137 km 131 (~62 km da sede; sede de Nova Venécia a ~67 km)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— Grupo Colombi (mesmo ramo da MCL), Jaguaré (~40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o da Columbia, modesto, a ~62 km; e o mais próximo (Usibrita, ~40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t>A linha de base parte do consumo efetivo de brita no Espírito Santo apurado nas vendas declaradas à ANM (RAL 2024–2025): 1,6–1,7 t/hab/ano — convergente com a rota ANEPAC (4,1 t/hab/ano de agregados no Sudeste × ~41,6% de participação da brita no mix ≈ 1,7). Aplicado à sede (134.423 hab — IBGE, estimativa 2025), resulta em 215–230 mil t/ano. No mercado-base conservador de dois municípios (São Mateus 134.423 — estimativa 2025 — e Conceição da Barra 27.458 — Censo 2022; total 161.881 hab), a demanda corrente situa-se entre 235 e 275 mil t/ano. Memória de cálculo — piso: 134.423 × 1,6 + 27.458 × 0,8 ≈ 237,0 mil t/ano (índice pleno na sede; metade do índice no município de perfil rural-litorâneo); teto: 161.881 × 1,7 ≈ 275,2 mil t/ano (índice estadual pleno em todo o mercado-base). As praças disputadas de Jaguaré (31.551 hab; produtor instalado) e Boa Esperança (14.054 hab; órbita comercial de Nova Venécia), mantidas fora da linha de base por conservadorismo, adicionariam 36–78 mil t/ano pela mesma métrica (0,8–1,7 t/hab). Fonte do índice: vendas declaradas no RAL, consolidadas pela ANM no Anuário Mineral Brasileiro/AMB [27].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/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Premissa e uso. Estimativa top-down para ordem de grandeza, não número contábil. O piso de 0,8 t/hab/ano no interior é premissa conservadora declarada (metade do índice estadual efetivo), sem fonte própria. A demanda real é triangulada com as vendas dos concorrentes (6.1), o consumo das obras (6.3) e o censo de clientes (7.1). As praças disputadas — Jaguaré e Boa Esperança; 45.605 hab; 36–78 mil t/ano — e o potencial secundário — Pedro Canário e a franja norte desabastecida (Montanha, Mucurici e Ponto Belo); 53.147 hab no conjunto — ficam fora da linha de base e das projeções.</w:t>
      </w:r>
      <w:r/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dois municípios mede o mercado que a CIPREM domina por frete, não o mercado que ela pode atender. Somando as camadas alcançáveis — mercado-base (237–275 mil t/ano), praças disputadas de Jaguaré e Boa Esperança (36–78 mil t/ano), praças-sede de concorrente acessíveis por CIF, Nova Venécia e Pinheiros (62–131 mil t/ano), e obras públicas catalogadas (70–100 mil t/ano) — o mercado endereçável situa-se entre 405 e 584 mil t/ano. Pedro Canário e a franja norte permanecem fora: há vazio de oferta local, mas a desvantagem de frete de R$ 32 a 34/t não é compensável, e o estudo lhes atribui peso zero. É contra a faixa de 405–584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 nem em Conceição da Barra; a operação mais próxima é a Usibrita, ~5 mil t/ano, em Jaguaré (item 6.1). A demanda só das obras públicas catalogadas é da ordem de 70 a 100 mil t/ano, e a demanda corrente do mercado-base situa-se entre 235 e 275 mil t/ano. A região consome muito mais brita do que produz por perto, importando-a de 60 a 140 km com frete caro (MCL ~62 km; Mattar ~70 km; Sangali ~100 km; Linhares–Aracruz 85–142 km). A questão de fundo — se as obras dividem um mercado pequeno ou o ampliam — se responde pelos números: o mercado cresce, e a CIPREM, a ~35 km da sede, entra com a maior vantagem de frete. No platô, a produção de 237,5 mil t/ano equivale a 41–59% do mercado endereçável de 405–584 mil t/ano (item 6.2). Pela via de baixo para cima, a captura ponderada pelos pesos de penetração do item 8 resulta em 200 a 248 mil t/ano, faixa em que o platô se posiciona a 79%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(235–275 mil t/ano), o mercado endereçável de 405–584 mil t/ano, o ciclo extraordinário de obras públicas e o crescimento populacional de 13,5% na década, projeta-se demanda regional sustentada por agregados ao longo de todo o horizonte do financiamento.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200 a 248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t xml:space="preserve">Guriri é um balneário em malha planejada (avenidas e ruas numeradas, com avenidas até a 11ª e ruas até a 31ª), com cerca de 8 km de extensão norte-sul, historicamente com vias precárias e sujeitas a alagamento. O plano-mestre de macrodrenagem e pavimentação, dividido em três bacias, equivale, na prática, à pavimentação de toda a malha principal do balneário — estimada em </w:t>
      </w:r>
      <w:r>
        <w:rPr>
          <w:b/>
          <w:bCs/>
        </w:rPr>
        <w:t xml:space="preserve">~40 a 48 km de vias / 350 a 400 mil m²</w:t>
      </w:r>
      <w:r>
        <w:t xml:space="preserve"> de pavimento, ancorada nas quantidades já contratadas (Bacia 1: 13,5 km e ~125 mil m²; Bacia 2: até 10,6 km de galerias).</w:t>
      </w:r>
    </w:p>
    <w:p>
      <w:pPr>
        <w:spacing w:after="140" w:line="276"/>
        <w:jc w:val="both"/>
      </w:pPr>
      <w:r>
        <w:t xml:space="preserve">As Bacias 1 e 2 já endereçam algo como </w:t>
      </w:r>
      <w:r>
        <w:rPr>
          <w:b/>
          <w:bCs/>
        </w:rPr>
        <w:t xml:space="preserve">22 a 30 km de vias</w:t>
      </w:r>
      <w:r>
        <w:t xml:space="preserve">. Restam, para os próximos anos, a Bacia 3 e as ruas fora das bacias — estimadas em </w:t>
      </w:r>
      <w:r>
        <w:rPr>
          <w:b/>
          <w:bCs/>
        </w:rPr>
        <w:t xml:space="preserve">~15 a 20 km / 125 a 150 mil m²</w:t>
      </w:r>
      <w:r>
        <w:t xml:space="preserve">, o que representa de </w:t>
      </w:r>
      <w:r>
        <w:rPr>
          <w:b/>
          <w:bCs/>
        </w:rPr>
        <w:t xml:space="preserve">75 a 90 mil toneladas de brita</w:t>
      </w:r>
      <w:r>
        <w:t xml:space="preserve"> de demanda potencial só na pavimentação remanescente de Guriri. A isso se soma o fluxo contínuo de novos loteamentos (Pontal de Guriri II, Portal do Ribeirão, Mar Aberto, entre outros),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Gomes: é onde a CIPREM produz mais perto que qualquer concorrente e onde estão o grosso da demanda e as obras. A vantagem sobre o concorrente de volume (MCL) é de R$ 24,6/t na sede e de R$ 31,9/t no corredor. Conceição da Barra entra por paridade (−R$ 0,9/t)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R$ 24,6 a R$ 35,5/t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R$ 24,6/t sobre o concorrente de volume. Conceição da Barra, 25% — paridade de frete, sem produtor local. Jaguaré, 20% — desvantagem de frete, mas incumbente sem capacidade. Boa Esperança, 15% — desvantagem de R$ 7,3/t frente à MCL.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200 a 248 mil t/ano.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235–275 mil t/ano no mercado-base conservador de dois municípios e mercado endereçável de 405–584 mil t/ano somadas as praças alcançáveis por CIF e as obras — contra o qual o platô de 237,5 mil t/ano representa 41 a 59%, e não os 78 a 91% que a leitura restrita ao mercado-base sugeria; (ii) um ciclo extraordinário de obras públicas (&gt;R$ 1 bilhão) que adiciona 70–100 mil t/ano de brita durante a janela de construção, além de um potencial de 75–90 mil t na pavimentação remanescente de Guriri; (iii) vantagem logística estrutural e mensurada — R$ 24,6/t sobre o concorrente de volume na sede e R$ 31,9/t no corredor de Nestor Gomes, em produto cujo preço posto é dominado pelo frete; (iv) concorrência em que o player mais próximo ancora preço mas não tem escala para disputar volume, com falhas de atendimento exploráveis; e (v) respaldo de um grupo cuja unidade em operação já pratica, em 2025, volume 0,5% superior ao platô aqui projetado. A captura ponderada por praça resulta em 200–248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Não consta de nenhum documento do dossiê: todas as distâncias derivam do marco km 35. Obter da poligonal ANM do processo 896.624/2013, do PAE ou dos arquivos KML do projeto, e refazer a régua do item 4 por roteirizador.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da Usibrita e da Sangali, e contradição da MCL. </w:t>
      </w:r>
      <w:r>
        <w:rPr>
          <w:b w:val="0"/>
        </w:rPr>
        <w:t>O estudo adota 62 km entre a MCL e a sede de São Mateus, enquanto a coordenada de base indica ~74 km; mantém-se 62 km por ser a hipótese menos favorável à CIPREM até que a poligonal decida.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(1,6–1,7 t/hab/ano)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