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i w:val="0"/>
          <w:color w:val="000000"/>
        </w:rPr>
        <w:t>3. JUSTIFICATIVA DO EMPREENDIMENTO</w:t>
      </w:r>
    </w:p>
    <w:p>
      <w:pPr>
        <w:spacing w:after="160"/>
      </w:pPr>
      <w:r>
        <w:rPr>
          <w:b w:val="0"/>
          <w:i/>
          <w:color w:val="000000"/>
        </w:rPr>
        <w:t>Em vermelho: trechos alterados ou inseridos nesta revisão (6ª rodada, incorporando os apontamentos do cliente — demanda pelo índice exato 2025, régua de frete integralmente medida a partir da coordenada do PAE, mercado-base revisto para três municípios e régua restrita a praças de mercado). Em preto: texto mantido. A nota ao final relaciona o que foi suprimido e as verificações realizadas.</w:t>
      </w:r>
    </w:p>
    <w:p>
      <w:pPr>
        <w:spacing w:after="160"/>
      </w:pPr>
      <w:r>
        <w:rPr>
          <w:b w:val="0"/>
          <w:i w:val="0"/>
          <w:color w:val="000000"/>
        </w:rPr>
        <w:t>São Mateus é o município-polo e o mais populoso da Microrregião Nordeste do Espírito Santo com 134,4 mil habitantes — IBGE, estimativa 2025; 8º do Estado — e polo regional de comércio e serviços. O setor tem natureza essencialmente local: pelo baixo valor por tonelada e pelo alto custo do frete, o raio econômico de comercialização raramente ultrapassa algumas dezenas de quilômetros, e excepcionalmente 150 km entre a fonte e o consumidor. Por isso, o mercado-base do empreendimento é definido pelo raio econômico do frete e pela posição real dos concorrentes, e foi delimitado de forma deliberadamente conservadora como mercado-alvo os municípios de São Mateus</w:t>
      </w:r>
      <w:r>
        <w:rPr>
          <w:b w:val="0"/>
          <w:i w:val="0"/>
          <w:color w:val="C00000"/>
        </w:rPr>
        <w:t>, Conceição da Barra e Boa Esperança, que somam 177.400 habitantes (IBGE, estimativas 2025). São os municípios que satisfazem, cumulativamente, os dois critérios adotados: a varredura de concorrência não identificou neles nenhum produtor de brita instalado, e todos estão dentro do raio econômico do frete — São Mateus com vantagem de R$ 23,8 por tonelada sobre o concorrente de volume mais próximo, Conceição da Barra e Boa Esperança em paridade (−R$ 5,2/t e −R$ 5,1/t)</w:t>
      </w:r>
      <w:r>
        <w:rPr>
          <w:b w:val="0"/>
          <w:i w:val="0"/>
          <w:color w:val="000000"/>
        </w:rPr>
        <w:t>.</w:t>
      </w:r>
    </w:p>
    <w:p>
      <w:pPr>
        <w:spacing w:after="160"/>
      </w:pPr>
      <w:r>
        <w:rPr>
          <w:b w:val="0"/>
          <w:i w:val="0"/>
          <w:color w:val="000000"/>
        </w:rPr>
        <w:t xml:space="preserve">A demanda corrente nesse mercado-base é estimada </w:t>
      </w:r>
      <w:r>
        <w:rPr>
          <w:b w:val="0"/>
          <w:i w:val="0"/>
          <w:color w:val="C00000"/>
        </w:rPr>
        <w:t>em cerca de 296 mil toneladas/ano</w:t>
      </w:r>
      <w:r>
        <w:rPr>
          <w:b w:val="0"/>
          <w:i w:val="0"/>
          <w:color w:val="000000"/>
        </w:rPr>
        <w:t xml:space="preserve">. A estimativa parte de um índice de consumo aparente de brita no Espírito Santo de </w:t>
      </w:r>
      <w:r>
        <w:rPr>
          <w:b w:val="0"/>
          <w:i w:val="0"/>
          <w:color w:val="C00000"/>
        </w:rPr>
        <w:t>1,669</w:t>
      </w:r>
      <w:r>
        <w:rPr>
          <w:b w:val="0"/>
          <w:i w:val="0"/>
          <w:color w:val="000000"/>
        </w:rPr>
        <w:t xml:space="preserve"> t/hab/ano (¹6.888.010,58 t ÷ 4.126.854 hab no estado do ES) — elaboração própria a partir das vendas declaradas à ANM no Relatório Anual de Lavra (RAL)</w:t>
      </w:r>
      <w:r>
        <w:rPr>
          <w:b w:val="0"/>
          <w:i w:val="0"/>
          <w:color w:val="C00000"/>
        </w:rPr>
        <w:t xml:space="preserve"> —, aplicado diretamente à população do mercado-base: 177.400 hab × 1,669 t/hab/ano ≈ 296,1 mil t/ano. Consumo e população referem-se ao mesmo ano de 2025 — não há defasagem entre numerador e denominador. Como teste de robustez, aplicar apenas metade do índice a Conceição da Barra e a Boa Esperança, municípios de perfil rural-litorâneo, ainda resulta em ~260 mil t/ano — piso prudente que também supera o platô de produção do projeto</w:t>
      </w:r>
      <w:r>
        <w:rPr>
          <w:b w:val="0"/>
          <w:i w:val="0"/>
          <w:color w:val="000000"/>
        </w:rPr>
        <w:t>. Trata-se de estimativa de ordem de grandeza, e não de número contábil: a memória de cálculo e as premissas constam do Estudo anexo</w:t>
      </w:r>
      <w:r>
        <w:rPr>
          <w:b w:val="0"/>
          <w:i w:val="0"/>
          <w:color w:val="C00000"/>
        </w:rPr>
        <w:t>, cujo censo de clientes corrobora, por baixo, a mesma ordem de grandeza.</w:t>
      </w:r>
    </w:p>
    <w:p>
      <w:pPr>
        <w:spacing w:after="160"/>
      </w:pPr>
      <w:r>
        <w:rPr>
          <w:b w:val="0"/>
          <w:i w:val="0"/>
          <w:color w:val="000000"/>
        </w:rPr>
        <w:t>FONTE: ¹https://app.powerbi.com/view?r=eyJrIjoiODIyOWJlMTgtZTBlNi00ODFhLWJiOGEtYzlmOWM3MjhmMWQ4IiwidCI6ImEzMDgzZTIxLTc0OWItNDUzNC05YWZhLTU0Y2MzMTg4OTdiOCJ9</w:t>
      </w:r>
    </w:p>
    <w:p>
      <w:pPr>
        <w:spacing w:after="160"/>
      </w:pPr>
      <w:r>
        <w:rPr>
          <w:b w:val="0"/>
          <w:i w:val="0"/>
          <w:color w:val="000000"/>
        </w:rPr>
        <w:t xml:space="preserve">A praça vizinha de Jaguaré (31,6 mil habitantes; </w:t>
      </w:r>
      <w:r>
        <w:rPr>
          <w:b w:val="0"/>
          <w:i w:val="0"/>
          <w:color w:val="C00000"/>
        </w:rPr>
        <w:t>26–53 mil t/ano pela mesma métrica, de metade a pleno do índice</w:t>
      </w:r>
      <w:r>
        <w:rPr>
          <w:b w:val="0"/>
          <w:i w:val="0"/>
          <w:color w:val="000000"/>
        </w:rPr>
        <w:t>) foi mantida fora da linha de base por ter produtor instalado</w:t>
      </w:r>
      <w:r>
        <w:rPr>
          <w:b w:val="0"/>
          <w:i w:val="0"/>
          <w:color w:val="C00000"/>
        </w:rPr>
        <w:t xml:space="preserve">. Mantê-la fora não significa venda zero: a praça recebe peso de captura de 20% na conta de mercado (5 a 11 mil t/ano). O produtor instalado ali vendeu cerca de 5 mil t em 2025 — menos de um quinto da demanda do próprio município —, de modo que a maior parte do consumo local já é suprida de fora; para essa parcela, a CIPREM disputa com supridores mais distantes, e não com o incumbente. A distância foi medida em 39,6 km, o que encerra a hipótese de encurtamento pela ES-356: a ligação existe e conecta Nestor Gomes (ES-381) à ES-430, mas não reduz materialmente o acesso. Boa Esperança, que a versão anterior mantinha fora da base por suposta desvantagem de frete, passou a integrá-la: a rota pela Rod. Willes Jantorno foi medida em 27,9 km, contra 22,3 km da pedreira mais próxima, o que a coloca em paridade — a mesma posição de Conceição da Barra, já integrante da base. </w:t>
      </w:r>
      <w:r>
        <w:rPr>
          <w:b w:val="0"/>
          <w:i w:val="0"/>
          <w:color w:val="000000"/>
        </w:rPr>
        <w:t>Completam o quadro, como potencial secundário igualmente fora das projeções, Pedro Canário e a franja norte do Estado (Montanha, Mucurici e Ponto Belo — ~53 mil habitantes sem produtor de brita local)</w:t>
      </w:r>
      <w:r>
        <w:rPr>
          <w:b w:val="0"/>
          <w:i w:val="0"/>
          <w:color w:val="C00000"/>
        </w:rPr>
        <w:t>, praças em que o supridor mais próximo é a pedreira de Pinheiros — em Pedro Canário, a ~50 km, contra ~87 km da CIPREM —,</w:t>
      </w:r>
      <w:r>
        <w:rPr>
          <w:b w:val="0"/>
          <w:i w:val="0"/>
          <w:color w:val="000000"/>
        </w:rPr>
        <w:t xml:space="preserve"> e, em atuação apenas </w:t>
      </w:r>
      <w:r>
        <w:rPr>
          <w:b w:val="0"/>
          <w:i w:val="0"/>
          <w:color w:val="C00000"/>
        </w:rPr>
        <w:t>por entrega própria e serviço</w:t>
      </w:r>
      <w:r>
        <w:rPr>
          <w:b w:val="0"/>
          <w:i w:val="0"/>
          <w:color w:val="000000"/>
        </w:rPr>
        <w:t>, as praças de Nova Venécia e Pinheiros, sedes de concorrentes estabelecidos. Por conservadorismo, nenhum desses mercados integra a receita-base do empreendimento.</w:t>
      </w:r>
    </w:p>
    <w:p>
      <w:pPr>
        <w:spacing w:after="160"/>
      </w:pPr>
      <w:r>
        <w:rPr>
          <w:b w:val="0"/>
          <w:i w:val="0"/>
          <w:color w:val="000000"/>
        </w:rPr>
        <w:t>A oferta instalada confirma a lacuna: a varredura município a município realizada em agosto de 2026 — em bases públicas de CNPJ, cadastros da ANM e fontes indexadas — não identificou nenhuma pedreira de britagem em atividade em São Mateus</w:t>
      </w:r>
      <w:r>
        <w:rPr>
          <w:b w:val="0"/>
          <w:i w:val="0"/>
          <w:color w:val="C00000"/>
        </w:rPr>
        <w:t>, em Conceição da Barra nem em Boa Esperança</w:t>
      </w:r>
      <w:r>
        <w:rPr>
          <w:b w:val="0"/>
          <w:i w:val="0"/>
          <w:color w:val="000000"/>
        </w:rPr>
        <w:t>. Em São Mateus, a presença concorrente é de natureza logístico-comercial: a Pedreira Mattar, sediada em Pinheiros (</w:t>
      </w:r>
      <w:r>
        <w:rPr>
          <w:b w:val="0"/>
          <w:i w:val="0"/>
          <w:color w:val="C00000"/>
        </w:rPr>
        <w:t>66,8 km</w:t>
      </w:r>
      <w:r>
        <w:rPr>
          <w:b w:val="0"/>
          <w:i w:val="0"/>
          <w:color w:val="000000"/>
        </w:rPr>
        <w:t>), mantém filial no município com CNAE de beneficiamento, sem atividade de extração associada. A operação de britagem mais próxima é a Mineração Usibrita, em Jaguaré (</w:t>
      </w:r>
      <w:r>
        <w:rPr>
          <w:b w:val="0"/>
          <w:i w:val="0"/>
          <w:color w:val="C00000"/>
        </w:rPr>
        <w:t>57,1 km da sede, medidos a partir da coordenada da cava</w:t>
      </w:r>
      <w:r>
        <w:rPr>
          <w:b w:val="0"/>
          <w:i w:val="0"/>
          <w:color w:val="000000"/>
        </w:rPr>
        <w:t xml:space="preserve">), ainda em escala reduzida e situada fora do mercado-base. </w:t>
      </w:r>
      <w:r>
        <w:rPr>
          <w:b w:val="0"/>
          <w:i w:val="0"/>
          <w:color w:val="C00000"/>
        </w:rPr>
        <w:t xml:space="preserve">Cabe distinguir duas funções que costumam ser lidas como uma só: a Usibrita é o produtor mais próximo de São Mateus e serve de referência de preço na praça, mas nem nisso alcança a CIPREM — chega à sede de 57,1 km contra 40,7 km, R$ 14,9 por tonelada atrás no frete — e não tem escala para disputar volume. Quem limita volume são os produtores de porte, e contra o mais próximo deles, em Pinheiros, a 66,8 km, a vantagem de frete da CIPREM é de R$ 23,8 por tonelada, alcançando R$ 31,7 contra a pedreira de Nova Venécia, a 75,5 km — da ordem de um quarto a um terço do preço posto na obra. </w:t>
      </w:r>
      <w:r>
        <w:rPr>
          <w:b w:val="0"/>
          <w:i w:val="0"/>
          <w:color w:val="000000"/>
        </w:rPr>
        <w:t xml:space="preserve">Os produtores de porte operam a partir de </w:t>
      </w:r>
      <w:r>
        <w:rPr>
          <w:b w:val="0"/>
          <w:i w:val="0"/>
          <w:color w:val="C00000"/>
        </w:rPr>
        <w:t>66,8 km — Pinheiros e Nova Venécia —</w:t>
      </w:r>
      <w:r>
        <w:rPr>
          <w:b w:val="0"/>
          <w:i w:val="0"/>
          <w:color w:val="000000"/>
        </w:rPr>
        <w:t xml:space="preserve"> e o maior deles a cerca de 100 km, em Rio Bananal, com parte do suprimento vindo do eixo Linhares–Aracruz (85–140 km). A jazida da CIPREM está a </w:t>
      </w:r>
      <w:r>
        <w:rPr>
          <w:b w:val="0"/>
          <w:i w:val="0"/>
          <w:color w:val="C00000"/>
        </w:rPr>
        <w:t>40,7 km da sede — distância medida em roteirizador a partir da coordenada do empreendimento registrada no PAE (GPS -18,67144, -40,17303) —</w:t>
      </w:r>
      <w:r>
        <w:rPr>
          <w:b w:val="0"/>
          <w:i w:val="0"/>
          <w:color w:val="C00000"/>
        </w:rPr>
        <w:t>, dentro do próprio município</w:t>
      </w:r>
      <w:r>
        <w:rPr>
          <w:b w:val="0"/>
          <w:i w:val="0"/>
          <w:color w:val="000000"/>
        </w:rPr>
        <w:t>: em um produto cujo preço posto na obra é dominado pelo frete, é vantagem competitiva estrutural no maior polo de demanda da região — a operação substitui suprimento de longa distância por produção local.</w:t>
      </w:r>
    </w:p>
    <w:p>
      <w:pPr>
        <w:spacing w:after="160"/>
      </w:pPr>
      <w:r>
        <w:rPr>
          <w:b w:val="0"/>
          <w:i w:val="0"/>
          <w:color w:val="000000"/>
        </w:rPr>
        <w:t>Além disso, o município de São Mateus vive um ciclo de investimentos públicos sem precedente na sua série histórica, que gera uma demanda extraordinária — da ordem de R$ 950 milhões em obras já em execução ou contratação. A macrodrenagem e pavimentação de Guriri é um programa que o Governo do Estado estima em cerca de R$ 1 bilhão no conjunto das três etapas: a bacia 2 está em execução pelo Consórcio Guriri CT</w:t>
      </w:r>
      <w:r>
        <w:rPr>
          <w:b w:val="0"/>
          <w:i w:val="0"/>
          <w:color w:val="C00000"/>
        </w:rPr>
        <w:t xml:space="preserve"> (investimento de R$ 306,5 milhões)</w:t>
      </w:r>
      <w:r>
        <w:rPr>
          <w:b w:val="0"/>
          <w:i w:val="0"/>
          <w:color w:val="000000"/>
        </w:rPr>
        <w:t>, com conclusão prevista para o fim de 2028; a bacia 1 teve edital publicado em março de 2026 (R$ 321,8 milhões, 13,5 km de galerias e ~125 mil m² de pavimentação); e a bacia 3 está prevista, ainda sem edital publicado. Além deste programa, somam-se o Contorno de São Mateus/ES-318, em execução (</w:t>
      </w:r>
      <w:r>
        <w:rPr>
          <w:b w:val="0"/>
          <w:i w:val="0"/>
          <w:color w:val="C00000"/>
        </w:rPr>
        <w:t>R$ 190,2 milhões — contrato de 2021 no valor de R$ 164,2 milhões, elevado por dois termos aditivos —, 24,6 km</w:t>
      </w:r>
      <w:r>
        <w:rPr>
          <w:b w:val="0"/>
          <w:i w:val="0"/>
          <w:color w:val="000000"/>
        </w:rPr>
        <w:t xml:space="preserve"> e três pontes), a duplicação da ES-315 e a antecipação pela concessionária Ecovias Capixaba de 21,6 km de terceiras faixas no trecho norte da BR-101 atravessando São Mateus. </w:t>
      </w:r>
      <w:r>
        <w:rPr>
          <w:b w:val="0"/>
          <w:i w:val="0"/>
          <w:color w:val="C00000"/>
        </w:rPr>
        <w:t xml:space="preserve">No conjunto, essas frentes representam entre 700 e 950 mil toneladas de agregados ao longo dos prazos de obra (3 a 4,5 anos); a brita responde por cerca de 40% a 45% desse mix — entre 300 e 400 mil toneladas no período, ou 70 a 100 mil t/ano de demanda extraordinária durante a janela de obras. </w:t>
      </w:r>
      <w:r>
        <w:rPr>
          <w:b w:val="0"/>
          <w:i w:val="0"/>
          <w:color w:val="000000"/>
        </w:rPr>
        <w:t xml:space="preserve">Elas destravam ainda um potencial estrutural maior: a malha planejada de Guriri (11 avenidas e 31 ruas ao longo de ~8 km) permanece majoritariamente sem pavimentação definitiva, e sua pavimentação completa, viabilizada justamente pela macrodrenagem em curso, representa </w:t>
      </w:r>
      <w:r>
        <w:rPr>
          <w:b w:val="0"/>
          <w:i w:val="0"/>
          <w:color w:val="C00000"/>
        </w:rPr>
        <w:t>350 a 400 mil m² de vias — entre 450 e 520 mil toneladas de agregados ao longo dos próximos anos. As projeções do empreendimento incorporam 75 a 90 mil t desse potencial, cerca de 15% a 20%; o restante permanece como demanda adicional, real e já contratada em parte, não incorporada às projeções de receita.</w:t>
      </w:r>
      <w:r>
        <w:rPr>
          <w:b w:val="0"/>
          <w:i w:val="0"/>
          <w:color w:val="000000"/>
        </w:rPr>
        <w:t xml:space="preserve"> As frentes demandam todo o portfólio do projeto: concreto estrutural (Britas 0 e 1) nas galerias e pontes, base e sub-base granular (BGS) nas rodovias, CBUQ (pedrisco) e assentamento de pavimento intertravado (pó de pedra) — padrão construtivo predominante na região.</w:t>
      </w:r>
    </w:p>
    <w:p>
      <w:pPr>
        <w:spacing w:after="160"/>
      </w:pPr>
      <w:r>
        <w:rPr>
          <w:b w:val="0"/>
          <w:i w:val="0"/>
          <w:color w:val="000000"/>
        </w:rPr>
        <w:t>No setor privado, operam na praça centrais de concreto de grupos consolidados (Polimix e Pedramix), consumidoras contínuas de brita e areia industrial. O escoamento das frações finas — historicamente as de venda mais difícil em pedreiras entrantes — apoia-se no padrão construtivo predominante da região, o pavimento intertravado, que consome pó de pedra no assentamento e na fabricação dos blocos, e nas rotas técnicas de recomposição em brita graduada simples e de areia de brita</w:t>
      </w:r>
      <w:r>
        <w:rPr>
          <w:b w:val="0"/>
          <w:i w:val="0"/>
          <w:color w:val="C00000"/>
        </w:rPr>
        <w:t xml:space="preserve"> (produzida na câmara F-Sand do próprio britador cônico). Registre-se que o circuito de britagem, fechado e sem etapa de lavagem, comercializa todas as frações produzidas — o próprio material de escalpe é vendido como bica corrida —, de modo que a operação não gera rejeito de processo.</w:t>
      </w:r>
    </w:p>
    <w:p>
      <w:pPr>
        <w:spacing w:after="160"/>
      </w:pPr>
      <w:r>
        <w:rPr>
          <w:b w:val="0"/>
          <w:i w:val="0"/>
          <w:color w:val="000000"/>
        </w:rPr>
        <w:t xml:space="preserve">Há ainda potencial adicional não contabilizado nas projeções: o Terminal Portuário de Urussuquara (Petrocity), </w:t>
      </w:r>
      <w:r>
        <w:rPr>
          <w:b w:val="0"/>
          <w:i w:val="0"/>
          <w:color w:val="C00000"/>
        </w:rPr>
        <w:t>cujo processo de licenciamento tramita no IBAMA desde 2021, com EIA/Rima protocolado e audiência pública realizada em 2023,</w:t>
      </w:r>
      <w:r>
        <w:rPr>
          <w:b w:val="0"/>
          <w:i w:val="0"/>
          <w:color w:val="000000"/>
        </w:rPr>
        <w:t xml:space="preserve"> demandaria enrocamento e concreto em volume de outra ordem de grandeza caso as obras se confirmem.</w:t>
      </w:r>
    </w:p>
    <w:p>
      <w:pPr>
        <w:spacing w:after="160"/>
      </w:pPr>
      <w:r>
        <w:rPr>
          <w:b w:val="0"/>
          <w:i w:val="0"/>
          <w:color w:val="000000"/>
        </w:rPr>
        <w:t>Em síntese, mesmo sob a definição mais conservadora de mercado a oferta instalada confirma a lacuna, uma vez que não há extração de brita ativa em São Mateus, registrando-se</w:t>
      </w:r>
      <w:r>
        <w:rPr>
          <w:b w:val="0"/>
          <w:i w:val="0"/>
          <w:color w:val="C00000"/>
        </w:rPr>
        <w:t>, como concorrente na cidade, apenas</w:t>
      </w:r>
      <w:r>
        <w:rPr>
          <w:b w:val="0"/>
          <w:i w:val="0"/>
          <w:color w:val="000000"/>
        </w:rPr>
        <w:t xml:space="preserve"> um pátio de beneficiamento e distribuição de uma pedreira que tem sua sede em Pinheiros (</w:t>
      </w:r>
      <w:r>
        <w:rPr>
          <w:b w:val="0"/>
          <w:i w:val="0"/>
          <w:color w:val="C00000"/>
        </w:rPr>
        <w:t>66,8 km</w:t>
      </w:r>
      <w:r>
        <w:rPr>
          <w:b w:val="0"/>
          <w:i w:val="0"/>
          <w:color w:val="000000"/>
        </w:rPr>
        <w:t xml:space="preserve">) — e, </w:t>
      </w:r>
      <w:r>
        <w:rPr>
          <w:b w:val="0"/>
          <w:i w:val="0"/>
          <w:color w:val="C00000"/>
        </w:rPr>
        <w:t>no entorno imediato</w:t>
      </w:r>
      <w:r>
        <w:rPr>
          <w:b w:val="0"/>
          <w:i w:val="0"/>
          <w:color w:val="000000"/>
        </w:rPr>
        <w:t>, o único produtor é uma operação de pequena escala em Jaguaré (</w:t>
      </w:r>
      <w:r>
        <w:rPr>
          <w:b w:val="0"/>
          <w:i w:val="0"/>
          <w:color w:val="C00000"/>
        </w:rPr>
        <w:t>57,1 km da sede</w:t>
      </w:r>
      <w:r>
        <w:rPr>
          <w:b w:val="0"/>
          <w:i w:val="0"/>
          <w:color w:val="000000"/>
        </w:rPr>
        <w:t xml:space="preserve">), com vendas da ordem de 5 mil t em 2025 pela base de arrecadação da CFEM (ANM, granito/ES). Os produtores diretos de porte operam em locais mais distantes: o maior a </w:t>
      </w:r>
      <w:r>
        <w:rPr>
          <w:b w:val="0"/>
          <w:i w:val="0"/>
          <w:color w:val="C00000"/>
        </w:rPr>
        <w:t>~100 km</w:t>
      </w:r>
      <w:r>
        <w:rPr>
          <w:b w:val="0"/>
          <w:i w:val="0"/>
          <w:color w:val="000000"/>
        </w:rPr>
        <w:t xml:space="preserve"> (unidade em Rio Bananal, ~360 mil t/ano) e os demais a </w:t>
      </w:r>
      <w:r>
        <w:rPr>
          <w:b w:val="0"/>
          <w:i w:val="0"/>
          <w:color w:val="C00000"/>
        </w:rPr>
        <w:t>66,8 km (Pinheiros) e 75,5 km (Nova Venécia)</w:t>
      </w:r>
      <w:r>
        <w:rPr>
          <w:b w:val="0"/>
          <w:i w:val="0"/>
          <w:color w:val="000000"/>
        </w:rPr>
        <w:t xml:space="preserve">. A jazida da CIPREM está a </w:t>
      </w:r>
      <w:r>
        <w:rPr>
          <w:b w:val="0"/>
          <w:i w:val="0"/>
          <w:color w:val="C00000"/>
        </w:rPr>
        <w:t>40,7 km</w:t>
      </w:r>
      <w:r>
        <w:rPr>
          <w:b w:val="0"/>
          <w:i w:val="0"/>
          <w:color w:val="000000"/>
        </w:rPr>
        <w:t xml:space="preserve"> da sede do município: em um produto cujo preço posto na obra é dominado pelo frete, é vantagem competitiva estrutural no maior polo de demanda da região — a operação substitui suprimento de longa distância por produção local.</w:t>
      </w:r>
    </w:p>
    <w:p>
      <w:pPr>
        <w:spacing w:after="160"/>
      </w:pPr>
      <w:r>
        <w:rPr>
          <w:b w:val="0"/>
          <w:i w:val="0"/>
          <w:color w:val="C00000"/>
        </w:rPr>
        <w:t>Somando todas as camadas, o mercado efetivamente endereçável pelo empreendimento é de 421 a 577 mil t/ano. Essa soma reúne: a demanda corrente do mercado-base (260 a 296 mil t/ano — do piso prudente ao índice pleno de 1,669 t/hab/ano), a praça disputada de Jaguaré (26 a 53 mil t/ano), as praças alcançáveis por entrega própria em Nova Venécia e Pinheiros (64 a 129 mil t/ano) e as obras públicas catalogadas (70 a 100 mil t/ano). Contra essa base, o platô de produção do projeto — 237.516 t/ano, 90% do teto licenciado, alcançado a partir do 3º ano de operação — representa 41% a 56%: participação compatível com um entrante que é o único produtor instalado no seu mercado-base. A projeção não supõe captura integral em nenhuma praça: aplicando pesos de penetração praça a praça — 65% em São Mateus (mesmo sendo o único produtor do município), 25% em Conceição da Barra, 15% em Boa Esperança, 20% em Jaguaré (5 a 11 mil t/ano), 10% nas praças-sede de concorrente e 60% nas obras públicas —, a captura resulta em 207 a 245 mil t/ano, faixa que comporta o platô. A condição dessa conta é dita com clareza: a sede sozinha não sustenta o platô — a diferença vem das praças vizinhas, onde a CIPREM entra entregando com frota própria, programa já orçado no investimento (dois conjuntos de carreta) e praticado pela unidade do grupo na Bahia, que converte R$ 74/t na porteira em R$ 116/t médios realizados.</w:t>
      </w:r>
    </w:p>
    <w:p>
      <w:pPr>
        <w:spacing w:after="160"/>
      </w:pPr>
      <w:r>
        <w:rPr>
          <w:b w:val="0"/>
          <w:i w:val="0"/>
          <w:color w:val="000000"/>
        </w:rPr>
        <w:t>O empreendimento situa-se na área de atuação da SUDENE, beneficiando-se dos instrumentos de fomento do FNE, e está alinhado às diretrizes da Política Nacional de Desenvolvimento Regional: substitui suprimento de longa distância por produção local, reduz custo de construção na região, gera emprego e renda no interior do Espírito Santo e fortalece a infraestrutura para os investimentos públicos e privados do norte capixaba.</w:t>
      </w:r>
    </w:p>
    <w:p>
      <w:pPr>
        <w:spacing w:after="80"/>
      </w:pPr>
      <w:r>
        <w:rPr>
          <w:b w:val="0"/>
          <w:i w:val="0"/>
          <w:color w:val="000000"/>
        </w:rPr>
      </w:r>
    </w:p>
    <w:p>
      <w:pPr>
        <w:spacing w:after="160"/>
      </w:pPr>
      <w:r>
        <w:rPr>
          <w:b/>
          <w:i w:val="0"/>
          <w:color w:val="C00000"/>
        </w:rPr>
        <w:t>NOTA DE REVISÃO (6ª RODADA) — não integra o texto da carta</w:t>
      </w:r>
    </w:p>
    <w:p>
      <w:pPr>
        <w:spacing w:after="160"/>
      </w:pPr>
      <w:r>
        <w:rPr>
          <w:b w:val="0"/>
          <w:i w:val="0"/>
          <w:color w:val="C00000"/>
        </w:rPr>
        <w:t>Demanda pelo índice exato: a demanda do mercado-base é o produto direto do índice de 2025 — 6.888.010,58 t ÷ 4.126.854 hab = 1,669 t/hab/ano — pela população de 2025 da área, agora 177.400 hab, resultando em 296,1 ≈ 296 mil t/ano. O conservadorismo é preservado como teste de robustez (metade do índice em Conceição da Barra e Boa Esperança → ~260 mil t/ano): protege a conta da objeção de que o índice estadual embute o consumo da Grande Vitória — e mesmo esse piso supera o platô de 237.516 t/ano. Faixas agregadas com o mesmo índice (metade ↔ pleno): Jaguaré 26–53; entrega própria 64–129; endereçável 421–577; participação do platô 41–56%; captura ponderada 207–245 (platô a 81% da faixa). Endereçável, participação e captura ficam inalterados frente à rodada anterior: Boa Esperança apenas mudou de camada, e seu peso de captura seguiu em 15%.</w:t>
      </w:r>
    </w:p>
    <w:p>
      <w:pPr>
        <w:spacing w:after="160"/>
      </w:pPr>
      <w:r>
        <w:rPr>
          <w:b w:val="0"/>
          <w:i w:val="0"/>
          <w:color w:val="C00000"/>
        </w:rPr>
        <w:t>Suprimidos (supressão não aparece em vermelho no corpo): (1) o parágrafo “Aplicado à sede… núcleo de quatro municípios (208.951 hab)… ≈ 285 mil t/ano” — internamente contraditório e incompatível com a régua de frete, que mostra Jaguaré (−R$ 28,8/t) como praça de desvantagem com produtor instalado; o núcleo de quatro municípios continua sem amparo, mas Boa Esperança, medida nesta rodada, passou a integrar o mercado-base pelos critérios declarados; a linha FONTE duplicada saiu junto. (2) “a ~25 km de Boa Esperança” — a refutação da rodada anterior (teste rodovia ≥ linha reta) usava coordenada estimada da jazida; com a coordenada do PAE e a medição do cliente (27,9 km pela Rod. Willes Jantorno), o valor original estava afinal próximo do real, e a distância voltou ao corpo do texto, corrigida. (3) O detalhamento do censo de clientes (44 compradores, 192 mil t, 62 mil capturáveis) — enxugado a pedido do cliente: carta consulta afirma e remete; o método fica no Estudo anexo. (4) A frase duplicada do programa de R$ 1 bilhão de Guriri. (5) O somatório “305 a 375 mil t/ano” — substituído pelo mercado endereçável. (6) “~271 mil t/ano” — substituído por ~296 mil t/ano: mesmo método (índice pleno × população), agora com o quociente exato da divisão (1,669, e não 1,66 truncado) e a população da base revista (177.400 hab).</w:t>
      </w:r>
    </w:p>
    <w:p>
      <w:pPr>
        <w:spacing w:after="160"/>
      </w:pPr>
      <w:r>
        <w:rPr>
          <w:b w:val="0"/>
          <w:i w:val="0"/>
          <w:color w:val="C00000"/>
        </w:rPr>
        <w:t>Recorte do mercado-base revisto nesta rodada: passa de dois para três municípios — São Mateus 134.423 + Conceição da Barra 28.923 + Boa Esperança 14.054 = 177.400 hab (IBGE, estimativas 2025). O critério declarado não mudou; passou a ser aplicado sem exceção, em duas condições cumulativas: ausência de produtor de brita instalado e posição dentro do raio econômico do frete. Boa Esperança sempre satisfez a primeira e era excluída pela segunda, com base em distância estimada de 34 km (−R$ 7,3/t); medida em 27,9 km, ela fica em paridade (−R$ 5,1/t contra a pedreira de Pinheiros, a 22,3 km) — praticamente a mesma posição de Conceição da Barra (−R$ 5,2/t), que já integrava a base. Mantê-la fora seria arbitrário. Note-se que a revisão não infla nenhum número a jusante: a praça já era contada como camada disputada, de modo que o mercado endereçável, a participação do platô e a captura permanecem idênticos. O ambiente desta revisão não acessa ibge.gov.br: anexar ao dossiê o print do painel IBGE Cidades de Conceição da Barra e de Boa Esperança. A atualização foi propagada ao Estudo de Mercado anexo e aos demais documentos do pacote.</w:t>
      </w:r>
    </w:p>
    <w:p>
      <w:pPr>
        <w:spacing w:after="160"/>
      </w:pPr>
      <w:r>
        <w:rPr>
          <w:b w:val="0"/>
          <w:i w:val="0"/>
          <w:color w:val="C00000"/>
        </w:rPr>
        <w:t>Régua de frete remedida (origem das distâncias desta versão): o PAE registra o site em UTM 24K (SIRGAS2000) 376.291 E / 7.935.121 N — GPS -18.67144, -40.17303 — na Estrada de Taquarussu, s/n, Km 35, Nestor Gomes. A partir desse ponto, todas as praças foram medidas uma a uma em roteirizador (ago/2026), substituindo a decomposição pelo marco km 35: São Mateus 40,7 km (e não os ~35 km antes adotados) · Boa Esperança 27,9 · Nova Venécia 37,3 · Jaguaré 39,6 · Pinheiros 45,9 · Vila Pavão 59,3 · Conceição da Barra 73,2 · Vila Valério 77,6 · Sooretama 83,9 · Pedro Canário 88,3 · Montanha 90,3. Também foram medidas as distâncias dos concorrentes: Nova Venécia→São Mateus 75,5 km, Pinheiros→São Mateus 66,8, Pinheiros→Conceição da Barra 67,5 e Pinheiros→Boa Esperança 22,3. Duas consequências. Primeira: a divergência registrada na versão anterior sobre a distância da pedreira de Nova Venécia (62 km adotados contra ~74 km indicados pelo teste de coordenadas) está resolvida em favor do maior valor, e a vantagem de frete na sede sobe de R$ 24,6 para R$ 31,7/t contra ela — adotando-se, porém, como número de referência os R$ 23,8/t contra a pedreira de Pinheiros, por ser o concorrente de volume mais próximo, hipótese menos favorável à CIPREM. Segunda: contra o concorrente de preço em São Mateus, a CIPREM não tem mais os R$ 4,5/t de vantagem antes declarados — as duas chegam à praça praticamente da mesma distância. Todas as medições passam no teste rodovia ≥ linha reta, e a geometria fecha (37,3 + 40,7 ≈ 75,5).</w:t>
      </w:r>
    </w:p>
    <w:p>
      <w:pPr>
        <w:spacing w:after="160"/>
      </w:pPr>
      <w:r>
        <w:rPr>
          <w:b w:val="0"/>
          <w:i w:val="0"/>
          <w:color w:val="C00000"/>
        </w:rPr>
        <w:t>Duas linhas que faltavam, fechadas nesta rodada. Primeira, a Usibrita: a coordenada da cava (-18,873416, -40,198803) situa-a a 57,1 km da sede de São Mateus, e não aos ~40 km que o estudo vinha estimando. A consequência precisa ser dita sem rodeio, porque corrige a própria revisão anterior: com a estimativa de 40 km, a 4ª rodada havia declarado empate técnico nessa linha (−R$ 0,6/t) e retirado do texto a vantagem de R$ 4,5/t que a versão original afirmava; a medição mostra que a vantagem existe e é maior que a original — R$ 14,9/t. A redação original acertou a direção pelo motivo errado, e a correção da rodada passada foi na direção oposta à realidade. Com isso não resta nenhuma linha de paridade contra concorrente em São Mateus: a CIPREM produz mais perto da praça que qualquer concorrente, de qualquer porte, com margem de 16,4 km sobre o mais próximo deles. A medição passa no teste de sanidade (linha reta de 39,8 km; razão 1,43) e corrobora, por triangulação, os ~8 km entre a Usibrita e a sede de Jaguaré, de modo que a linha de Jaguaré (−R$ 28,8/t) fica confirmada. Segunda, o corredor: o distrito-sede de Nestor Gomes foi medido a 12,3 km da jazida, e a vantagem derivada dos trechos medidos (R$ 31,7/t) confirma os R$ 31,9/t antes publicados. O que distingue o corredor, porém, não é vantagem maior — é a mesma da sede — e sim o custo próprio de servi-lo: R$ 11,2/t de frete contra R$ 37,0/t até a sede. Restam apenas refinos que não tocam o argumento: o pino exato da boca da lavra e a poligonal ANM no SIGMINE.</w:t>
      </w:r>
    </w:p>
    <w:p>
      <w:pPr>
        <w:spacing w:after="160"/>
      </w:pPr>
      <w:r>
        <w:rPr>
          <w:b w:val="0"/>
          <w:i w:val="0"/>
          <w:color w:val="C00000"/>
        </w:rPr>
        <w:t>Linha do corredor de Nestor Gomes suprimida da régua de frete (a supressão não aparece em vermelho no corpo). O ponto foi levantado na revisão do cliente: Nestor Gomes é distrito de São Mateus, e a população do município — que já inclui os moradores do distrito — entra uma única vez na conta de demanda; a linha não estaria contando duas vezes a mesma coisa? Nos valores, não havia dupla contagem, e isso foi verificado nos três pontos onde poderia haver: a linha do corredor não carregava população (a coluna trazia “proximidade imediata”, enquanto a de São Mateus traz 134,4 mil hab); a demanda do item 6 aplica o índice a São Mateus uma vez só, sobre 134.423 hab; e os pesos de captura do item 8 aplicam um único percentual de 65% ao conjunto “sede, Guriri e corredor”. Nenhuma tonelada era contada duas vezes. A linha saiu, ainda assim, por três razões somadas: numa tabela em que cada linha é uma praça de mercado, uma linha que não é praça se lê como erro; com Nestor Gomes medido em 12,3 km, a vantagem derivada (R$ 31,7/t) saiu idêntica à da própria sede, de modo que a linha não trazia número novo; e a distância do concorrente até o distrito era a única da régua obtida por derivação geométrica, e não por medição — de sorte que a igualdade com a sede era consequência aritmética da própria derivação, não achado independente. Retirada a linha, a régua passa a repousar inteiramente em distâncias medidas ponta a ponta. O único fato genuíno e medido do corredor foi preservado no item 8 do Estudo, onde pertence: entregar junto à cava custa R$ 11,2/t de frete contra R$ 37,0/t até a sede — gradiente de margem dentro de um mercado já contado, que orienta prioridade comercial sem constituir mercado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