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b w:val="0"/>
        </w:rPr>
        <w:t>Versão 4 — concorrência verificada município a município (CNPJ/CNAE), régua de vantagem de frete em R$/t, separação entre concorrente de preço e de volume, e área de influência lida por duas fronteiras: a FOB, onde a CIPREM vence por geometria, e a CIF, alcançada com frota própria. Atualizada em agosto de 2026 com o platô de 237.516 t/ano (90% da licença).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</w:rPr>
        <w:t xml:space="preserve">Objetivo. </w:t>
      </w:r>
      <w:r>
        <w:rPr>
          <w:b w:val="0"/>
        </w:rPr>
        <w:t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— medido em reais por tonelada — e define a estratégia de entrada por duas fronteiras distintas: a FOB, onde a vantagem é geométrica, e a CIF, alcançada com entrega própria.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40,7 km da sede de São Mateus (medição em roteirizador a partir da coordenada do PAE).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A confirmar: </w:t>
      </w:r>
      <w:r>
        <w:rPr>
          <w:b w:val="0"/>
        </w:rPr>
        <w:t>o pino exato da boca da lavra e a poligonal no SIGMINE/ANM — a coordenada do site consta do PAE (UTM 24K 376.291/7.935.121; GPS -18.67144, -40.17303) —;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rPr>
          <w:b/>
        </w:rPr>
        <w:t xml:space="preserve">Trata-se de empreendimento pré-operacional em implantação: </w:t>
      </w:r>
      <w:r>
        <w:rPr>
          <w:b w:val="0"/>
        </w:rPr>
        <w:t>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spacing w:after="140" w:line="276"/>
        <w:jc w:val="both"/>
      </w:pPr>
      <w:r>
        <w:rPr>
          <w:b/>
        </w:rPr>
        <w:t xml:space="preserve">Capacidade instalada e teto operativo. </w:t>
      </w:r>
      <w:r>
        <w:rPr>
          <w:b w:val="0"/>
        </w:rPr>
        <w:t>A planta projetada tem capacidade nominal de 175 t/h e capacidade instalada declarada no PAE de 50.000 t/mês. O limite efetivo da operação, porém, não é mecânico e sim legal: a Licença de Instalação IEMA nº 000478/2025-D autoriza 8.000 m³/mês in situ, equivalentes a 21.992 t/mês (densidade 2,749 t/m³ do PAE) ou 263,9 mil t/ano — 44% da capacidade instalada. O platô de projeto adotado é de 7.200 m³ in situ/mês — equivalentes a 19.793 t/mês, 237.516 t/ano e cerca de 13.200 m³ de produto solto por mês —, alcançado a partir do ano 3 de operação e correspondente a 90% do teto licenciado e a 40% da capacidade instalada. Em nenhum cenário deste estudo a produção excede o volume licenciado; ampliação futura é procedimento de licenciamento (reenquadramento e atualização do PAE), não novo ciclo de investimento.</w:t>
      </w:r>
    </w:p>
    <w:p>
      <w:pPr>
        <w:spacing w:after="140" w:line="276"/>
        <w:jc w:val="both"/>
      </w:pPr>
      <w:r>
        <w:rPr>
          <w:b/>
        </w:rPr>
        <w:t xml:space="preserve">Resiliência operacional. </w:t>
      </w:r>
      <w:r>
        <w:rPr>
          <w:b w:val="0"/>
        </w:rPr>
        <w:t>A licença limita o volume do mês, não o ritmo do dia. Medido em horas de linha, o platô ocupa 113 horas de britagem nominal (166 horas brutas) contra uma janela física de 520 horas mensais — 32% do tempo disponível da planta; o teto licenciado inteiro equivale a cerca de um turno de 8 h. Essa folga é o que absorve a sazonalidade de chuva: perdendo dias de lavra, o mês se recompõe estendendo a jornada nos dias restantes, com o volume mensal inalterado e a licença intocada. O rendimento da planta cai com a jornada (68% em até 10 h, 62% em 16 h, 55% em 20 h) e a hora extra tem custo — operacional, não de investimento. Os regimes noturnos pressupõem autorização de horário, item a confirmar nas condicionantes da licença (item 11).</w:t>
      </w:r>
    </w:p>
    <w:p>
      <w:pPr>
        <w:spacing w:after="140" w:line="276"/>
        <w:jc w:val="both"/>
      </w:pPr>
      <w:r>
        <w:rPr>
          <w:b/>
        </w:rPr>
        <w:t xml:space="preserve">Referência operacional do grupo. </w:t>
      </w:r>
      <w:r>
        <w:rPr>
          <w:b w:val="0"/>
        </w:rPr>
        <w:t>O platô não é uma aposta: é o nível em que o grupo já opera. Em 2025 a Pedreira Vale Verde (Mineração São Vicente, Porto Seguro/BA) desmontou 236.280 t de rocha e produziu 216.385 t de britados, com receita bruta de R$ 17,1 milhões apurada em DRE auditada. O platô proposto para a CIPREM — 237.516 t/ano — está 0,5% acima do desmonte já realizado naquela unidade. A diferença de 19.895 t entre desmonte e britados daquele exercício não é perda de processo: corresponde à pilha de rocha detonada e ainda não britada na virada do ano, compatível com a política de desmonte em campanhas de 6 a 39 mil t/mês praticada na unidade e com o pulmão recomendado de 3 a 4 semanas de britagem, 20 a 25 mil t. O balanço de massa da planta é apresentado no item 2.5.</w:t>
      </w:r>
    </w:p>
    <w:p>
      <w:pPr>
        <w:pStyle w:val="Heading2"/>
      </w:pPr>
      <w:r>
        <w:t>2.5 Balanço de massa — por que a planta não gera rejeito</w:t>
      </w:r>
    </w:p>
    <w:p>
      <w:pPr>
        <w:spacing w:after="140" w:line="276"/>
        <w:jc w:val="both"/>
      </w:pPr>
      <w:r>
        <w:rPr>
          <w:b w:val="0"/>
        </w:rPr>
      </w:r>
      <w:r>
        <w:rPr>
          <w:b w:val="0"/>
        </w:rPr>
        <w:t>A britagem conserva massa, e o circuito desta planta foi desenhado para comercializar todas as frações. A britagem secundária opera em circuito fechado: o material retido na peneira retorna ao cônico como carga circulante até atingir a granulometria, de modo que nada sai do fluxo por estar fora de especificação. O material separado pela peneira de escalpe — terra e rocha alterada da frente de lavra — é desviado para bica corrida, produto comercial correspondente a 8% do mix, de demanda consolidada em compactação de estradas não pavimentadas. Não há circuito de lavagem: os decantadores orçados são de drenagem pluvial, e portanto nenhum ultrafino é retirado da corrente de produto. As frações finas são produto, não sobra: o pó de pedra responde por 27% do mix comercial e o britador cônico dispõe de câmara F-Sand para converter finos em areia industrial; a brita graduada, por sua vez, é recombinação de pó com britas já contabilizados, e não massa adicional.</w:t>
      </w:r>
    </w:p>
    <w:p>
      <w:pPr>
        <w:spacing w:after="140" w:line="276"/>
        <w:jc w:val="both"/>
      </w:pPr>
      <w:r>
        <w:rPr>
          <w:b/>
        </w:rPr>
        <w:t xml:space="preserve">Perdas físicas remanescentes. </w:t>
      </w:r>
      <w:r>
        <w:rPr>
          <w:b w:val="0"/>
        </w:rPr>
        <w:t>Existem e são declaradas: variação de umidade entre os pontos de pesagem, poeira levada pelo vento e material consumido internamente na manutenção de acessos e praça. Numa planta seca que comercializa seus finos, somam ordem de 1 a 3% — e a parcela de uso interno é consumo próprio, não perda. Estão cobertas pelas demais margens do modelo, cujo preço-base de R$ 68,50/t se situa cerca de 8% abaixo do FOB efetivamente realizado pela unidade do grupo. Registre-se, como referência independente, que a própria estatística oficial do setor não acusa perda sistemática nessa etapa: a ANM distingue produção bruta (ROM) de produção beneficiada no Relatório Anual de Lavra, e no agregado nacional de pedra britada a produção beneficiada supera a bruta — o que seria impossível se houvesse recuperação inferior a 100%, e evidencia que as duas séries são medidas de forma independente.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8º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rPr>
          <w:b/>
        </w:rPr>
        <w:t xml:space="preserve">Duas fronteiras. </w:t>
      </w:r>
      <w:r>
        <w:rPr>
          <w:b w:val="0"/>
        </w:rPr>
        <w:t>Como produto frete-dependente, o mercado da CIPREM tem duas delimitações distintas, e confundi-las é a origem dos erros de dimensionamento. A fronteira FOB é onde a CIPREM vence na porteira, porque o comprador paga menos frete vindo dela do que de qualquer concorrente — é geometria, não esforço comercial. A fronteira CIF é onde a CIPREM chega entregando com frota própria, capturando a margem logística em vez de cedê-la; alcança praças em que perde no FOB, porque a comparação deixa de ser preço na porteira e passa a ser preço posto na obra, com serviço. A tabela abaixo mede a primeira fronteira: para cada praça, a diferença de frete entre a CIPREM e o concorrente mais próximo daquela praça, convertida em reais por tonelada.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Distância CIPREM × concorrente mais próximo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Vantagem de frete (R$/t)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Classificação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MCL 75,5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+31,7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concorrente de volume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Mattar 66,8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+23,8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São Mateus sede + Guriri — concorrente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40,7 km × Usibrita 57,1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+14,9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27,9 km × Mattar 22,3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-5,1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Conceição da Barra — 28,9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73,2 km × Mattar 67,5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-5,2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Franja norte: Montanha, Mucurici e Ponto Belo — 31,2 mil hab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90,3 km (medida) × Mattar ~60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-27,6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Jaguaré sede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39,6 km (medida) × Usibrita local ~8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-28,8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Nova Venécia sede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37,3 km (medida) × MCL local ~5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-29,4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Pedro Canário — 21,9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88,3 km (medida) × Mattar ~50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-34,9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Pinheiros sede — 24,8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45,9 km (medida) × Mattar local ~5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-37,2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Método e fontes. </w:t>
      </w:r>
      <w:r>
        <w:rPr>
          <w:b w:val="0"/>
        </w:rPr>
        <w:t>A vantagem é calculada como 0,91 × (distância rodoviária do concorrente − distância da CIPREM), em R$/t. O coeficiente de R$ 0,91 por tonelada-quilômetro é a regra de preço de frete praticada pelo próprio grupo, escrita na tabela de preços da unidade em operação ("Carreta: 0,91 × volume (T) × KM"; truck, 0,99). Registre-se, para transparência, que o SICRO/DNIT indica R$ 0,78/t·km como referência de custo — não de preço: recalculada a esse coeficiente, toda a régua encolhe cerca de 14% (a vantagem na sede passaria de R$ 23,8 para R$ 20,4/t), sem alterar o ordenamento das praças nem a classificação de nenhuma delas. Populações: IBGE, estimativas 2025 (Censo 2022 para Conceição da Barra, Montanha e Vila Pavão). Distâncias: nesta versão as praças foram medidas uma a uma em roteirizador (ago/2026) a partir da coordenada do empreendimento registrada no PAE — UTM 24K 376.291/7.935.121; GPS -18.67144, -40.17303 —, substituindo a decomposição pelo marco km 35 da versão anterior; as distâncias dos concorrentes até São Mateus, Conceição da Barra e Boa Esperança também foram medidas. Todas passam no teste de sanidade rodovia ≥ linha reta (razões de 1,21 a 1,86), e a geometria fecha: MCL→jazida 37,3 km + jazida→São Mateus 40,7 km ≈ os 75,5 km medidos entre MCL e São Mateus — a jazida está praticamente sobre o eixo Nova Venécia–São Mateus. Medidas e confirmadas fora do raio econômico, por isso ausentes da tabela: Vila Pavão (8,9 mil hab, 59,3 km), Vila Valério (15,2 mil hab, 77,6 km), Sooretama (30,0 mil hab, 83,9 km, já no eixo de suprimento Linhares–Aracruz) e São Gabriel da Palha (34,3 mil hab, 75–90 km). Nesta versão entraram as duas últimas linhas que faltavam: a coordenada da cava da Usibrita (-18,873416, -40,198803), a 57,1 km da sede de São Mateus, e a distância da jazida ao distrito-sede de Nestor Gomes, 12,3 km. A medição da Usibrita também passa no teste de sanidade (linha reta de 39,8 km; razão 1,43) e corrobora, por triangulação, os ~8 km entre ela e a sede de Jaguaré. A régua lista praças de mercado — os municípios do raio, pela respectiva sede. Localidades internas a São Mateus, como o distrito de Nestor Gomes onde está a jazida, não recebem linha própria: estão cobertas pela linha do município, cuja população já as inclui. Permanecem estimadas apenas as distâncias internas dos concorrentes às suas próprias sedes.</w:t>
      </w:r>
    </w:p>
    <w:p>
      <w:pPr>
        <w:spacing w:after="140" w:line="276"/>
        <w:jc w:val="both"/>
      </w:pPr>
      <w:r>
        <w:rPr>
          <w:b/>
        </w:rPr>
        <w:t xml:space="preserve">Leitura da régua. </w:t>
      </w:r>
      <w:r>
        <w:rPr>
          <w:b w:val="0"/>
        </w:rPr>
        <w:t>A célula de frete da CIPREM é, essencialmente, o município de São Mateus: das 193 localidades testadas na varredura de agosto/2026, 30 caem na célula da CIPREM — 26 em São Mateus (série "Quilômetro 13 a 37", Nestor Gomes, Mata Sede, Serraria), 3 em Conceição da Barra e 1 em Vila Valério. Nenhuma localidade de outro município está mais perto da jazida que da própria sede: a hipótese de capturar distritos vizinhos por proximidade não se confirma, e os casos-limite são empates de 0,5 a 2 km. Onde a régua acusa desvantagem, a captura não vem do frete e sim de lacuna de capacidade ou falha de serviço do incumbente, pela via CIF — é o que fundamenta os pesos do item 8.</w:t>
      </w:r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rPr>
          <w:b w:val="0"/>
        </w:rP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mantém-se: as unidades produtivas dos concorrentes ficam mais distantes do polo de demanda do que ficaria a CIPREM. As novidades desta versão são três: a confirmação de um produtor incipiente no entorno imediato (Usibrita, em Jaguaré); a caracterização da Mattar como grupo interestadual com pátio em São Mateus, cuja extração em Pinheiros corre pela Mattar Empreendimentos Minerários enquanto a Pedreira Pinheiros Ltda opera apenas o beneficiamento; e a separação — decisiva e ausente das versões anteriores — entre concorrente de preço e concorrente de volume.</w:t>
      </w:r>
    </w:p>
    <w:p>
      <w:pPr>
        <w:spacing w:after="140" w:line="276"/>
        <w:jc w:val="both"/>
      </w:pPr>
      <w:r>
        <w:rPr>
          <w:b/>
        </w:rPr>
        <w:t xml:space="preserve">Concorrente de preço × concorrente de volume. </w:t>
      </w:r>
      <w:r>
        <w:rPr>
          <w:b w:val="0"/>
        </w:rPr>
        <w:t>As duas funções não estão no mesmo player, e tratá-las como uma só distorce a leitura da posição da CIPREM. O produtor mais próximo de São Mateus é a Usibrita, e a medição de ago/2026 mostra que ela chega à praça de 57,1 km contra 40,7 km da CIPREM: mesmo sendo o concorrente mais próximo de qualquer porte, fica R$ 14,9/t atrás no frete. A versão anterior deste estudo, apoiada em estimativa de ~40 km, declarava empate técnico nessa linha — a medição desfaz o empate em favor da CIPREM. A Usibrita segue importando como referência de preço da praça, e não como disputante de volume: vendeu cerca de 5 mil t em 2025 (item 6.1), menos de um quinto da demanda do próprio município de Jaguaré, onde está instalada. Quem limita volume são os produtores de porte: a Mattar, a 66,8 km, contra a qual a vantagem é de R$ 23,8/t, e a MCL, a 75,5 km, contra a qual chega a R$ 31,7/t — de um quarto a um terço do preço posto na obra. Adota-se a vantagem sobre a Mattar (R$ 23,8/t) como número de referência por ser o concorrente de volume mais próximo — hipótese menos favorável à CIPREM. A leitura prática: a CIPREM produz mais perto de São Mateus do que qualquer concorrente, de qualquer porte, e a margem sobre o mais próximo deles é de 16,4 km, ou R$ 14,9/t.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57,1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do entorno imediato (praça disputada, fora do mercado-base);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37,3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75,5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45,9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66,8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~100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rPr>
          <w:b w:val="0"/>
        </w:rPr>
        <w:t>A MCL/Colombi produz a 75,5 km da sede de São Mateus (medição de ago/2026, que resolve a divergência da versão anterior entre os 62 km adotados e os ~74 km indicados pelo teste de coordenadas), a Mattar a 66,8 km (Pinheiros) e a Sangali a ~100 km (Rio Bananal); a CIPREM produzirá a 40,7 km — e a Usibrita, produtor mais próximo da sede, a 57,1 km (medidos a partir da coordenada da cava),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Varredura concluída (ago/2026): </w:t>
      </w:r>
      <w:r>
        <w:rPr>
          <w:b w:val="0"/>
        </w:rPr>
        <w:t>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Em Pinheiros há dois CNPJs a distinguir: a Mattar Empreendimentos Minerários, que extrai no município, e a Pedreira Pinheiros Ltda, que apenas beneficia. Pedro Canário não tem produtor local, mas está a 87 km da jazida contra 50 km da Mattar — o vazio de oferta é da Mattar, não da CIPREM. Pendência residual: conferência visual no mapa SIGMINE (acesso indisponível no ambiente desta pesquisa) — anexar o print por município na versão de protocolo.</w:t>
      </w:r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rPr>
          <w:b w:val="0"/>
        </w:rPr>
        <w:t>O relato de pedreira em atividade em Jaguaré — praça disputada do entorno imediato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Implicação. </w:t>
      </w:r>
      <w:r>
        <w:rPr>
          <w:b w:val="0"/>
        </w:rPr>
        <w:t>Jaguaré é praça disputada: para o consumo do próprio município a Usibrita tem vantagem de frete de R$ 28,8/t (39,6 km da CIPREM, medidos, contra ~8 km do incumbente), e a CIPREM só entra ali por CIF e serviço, contra um incumbente sem capacidade instalada para atender a demanda local. A medição encerra também a hipótese da rota nova: a ES-356 existe e liga Nestor Gomes à ES-430, mas o trajeto medido (39,6 km) confirma a distância já adotada para a praça — a ligação não encurta materialmente o acesso, e o peso de captura de Jaguaré permanece em 20% sem expectativa de elevação por essa via. Para São Mateus, onde está o grosso da demanda, a posição da CIPREM se mantém. A evolução da Usibrita (CFEM anual e novos atos ANM) deve ser monitorada semestralmente. A investigação da v3, que dava o caso por inconclusivo, fica superada nesta versão.</w:t>
      </w:r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(~100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M.C.L. Mineração Columbia — Grupo Colombi, unidade Pedra do Elefante / ES-137 km 131 (75,5 km da sede de São Mateus, medidos)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Mineração Usibrita — Grupo Colombi (mesmo ramo da MCL), Jaguaré (57,1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Leitura. </w:t>
      </w:r>
      <w:r>
        <w:rPr>
          <w:b w:val="0"/>
        </w:rPr>
        <w:t>O único produtor de porte (Sangali) está a ~100 km; a MCL, a 75,5 km; a Mattar, a 66,8 km; e o mais próximo (Usibrita, 57,1 km) mal começou — produziu o equivalente a ~5 mil t em 2025, menos de um quinto da demanda do município onde está instalada. É o dado que sustenta a distinção entre concorrente de preço e concorrente de volume (item 5). *Volume estimado dividindo o faturamento por um preço médio de brita posto da ordem de R$ 50/t (ordem de grandeza, a confirmar). A extração em Pinheiros corre pela Mattar Empreendimentos Minerários; a Pedreira Pinheiros Ltda, cuja matriz opera o CNAE 2391-5/01 (britamento sem extração associada), não figura nesta base — o porte real do grupo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rPr>
          <w:b w:val="0"/>
        </w:rPr>
        <w:t>A linha de base parte do consumo efetivo de brita no Espírito Santo apurado nas vendas declaradas à ANM (RAL, dado 2025): 6.888.010,58 t comercializadas ÷ 4.126.854 habitantes = 1,669 t/hab/ano — convergente com a rota ANEPAC (4,1 t/hab/ano de agregados no Sudeste × ~41,6% de participação da brita no mix ≈ 1,7). O mercado-base é definido por dois critérios cumulativos, aplicados sem exceção: ausência de produtor de brita instalado e posição dentro do raio econômico do frete (paridade ou vantagem na régua do item 4). Satisfazem os dois São Mateus (134.423 hab; +R$ 23,8/t), Conceição da Barra (28.923 hab; −R$ 5,2/t) e Boa Esperança (14.054 hab; −R$ 5,1/t) — 177.400 habitantes (IBGE, estimativas 2025). Aplicado o índice diretamente a essa população de 2025: 177.400 × 1,669 ≈ 296,1 mil, ou seja, demanda corrente de cerca de 296 mil t/ano. Consumo e população referem-se ao mesmo ano — não há defasagem entre numerador e denominador. Piso de robustez: aplicando metade do índice a Conceição da Barra e a Boa Esperança, municípios de perfil rural-litorâneo, a estimativa recua a ~260 mil t/ano — piso que ainda supera o platô do projeto; só a sede responde por ~224 mil t/ano. Boa Esperança integra a base a partir desta versão: a exclusão anterior apoiava-se em distância estimada de 34 km (desvantagem de R$ 7,3/t), refutada pela medição de 27,9 km pela Rod. Willes Jantorno, que a coloca na mesma posição competitiva de Conceição da Barra, já integrante da base. A praça disputada de Jaguaré (31.551 hab; produtor instalado), mantida fora da linha de base, adicionaria 26–53 mil t/ano pela mesma métrica (de metade a pleno do índice). Fonte do índice: vendas declaradas no RAL, consolidadas pela ANM no Anuário Mineral Brasileiro/AMB [27].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Premissa e uso. </w:t>
      </w:r>
      <w:r>
        <w:rPr>
          <w:b w:val="0"/>
        </w:rPr>
        <w:t>Estimativa top-down para ordem de grandeza, não número contábil. A estimativa central aplica o índice estadual exato de 2025 (1,669 t/hab/ano) a toda a população do mercado-base; o piso de robustez de ~0,835 t/hab/ano no interior (metade do índice) é premissa conservadora declarada, sem fonte própria. A demanda real é triangulada com as vendas dos concorrentes (6.1), o consumo das obras (6.3) e o censo de clientes (7.1). A praça disputada — Jaguaré; 31.551 hab; 26–53 mil t/ano — e o potencial secundário — Pedro Canário e a franja norte desabastecida (Montanha, Mucurici e Ponto Belo); 53.147 hab no conjunto — ficam fora da linha de base e das projeções.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Mercado endereçável. </w:t>
      </w:r>
      <w:r>
        <w:rPr>
          <w:b w:val="0"/>
        </w:rPr>
        <w:t>A linha de base de três municípios mede o mercado que a CIPREM domina ou disputa em paridade por frete, não o mercado que ela pode atender. Somando as camadas alcançáveis — mercado-base (260–296 mil t/ano, do piso prudente ao índice pleno), praça disputada de Jaguaré (26–53 mil t/ano), praças-sede de concorrente acessíveis por CIF, Nova Venécia e Pinheiros (64–129 mil t/ano), e obras públicas catalogadas (70–100 mil t/ano) — o mercado endereçável situa-se entre 421 e 577 mil t/ano, faixa inalterada em relação à versão anterior: a entrada de Boa Esperança na base apenas realoca uma camada, sem criar mercado novo. Pedro Canário e a franja norte permanecem fora: há vazio de oferta local, mas a desvantagem de frete de R$ 28 a 35/t não é compensável, e o estudo lhes atribui peso zero. É contra a faixa de 421–577 mil t/ano, e não contra a linha de base, que a participação do platô deve ser lida.</w:t>
      </w:r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 xml:space="preserve">São Mateus vive um ciclo atípico de investimentos (mais de R$ 1 bilhão em obras estaduais em andamento). Para cada obra foram levantados, quando públicos, a empresa executora (cliente-alvo direto) e a quantidade contratada, com o consumo de agregado estimado por fatores de engenharia da ANEPAC (1 km de rodovia ≈ 9.800 t; 1.000 m² de edificação ≈ 1.360 t; pavimentação urbana ≈ 1,4 t/m²).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Contorno de São Mateus (ES-318) — R$ 190,2 mi (contrato de 2021 de R$ 164,2 mi + 2 aditivos)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Construtora Ápia S.A. (RDC Integrado) — 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24,6 km de rodovia + 3 pontes (rios Mariricu e Preto); 35 meses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 xml:space="preserve">Somadas, as frentes representam, em ordem de grandeza, </w:t>
      </w:r>
      <w:r>
        <w:rPr>
          <w:b/>
          <w:bCs/>
        </w:rPr>
        <w:t xml:space="preserve">700 a 950 mil toneladas de agregado</w:t>
      </w:r>
      <w:r>
        <w:t xml:space="preserve">, distribuídas ao longo dos prazos de obra (3 a 4,5 anos). Como a brita corresponde a ~42% do mix, equivale a algo entre </w:t>
      </w:r>
      <w:r>
        <w:rPr>
          <w:b/>
          <w:bCs/>
        </w:rPr>
        <w:t xml:space="preserve">300 e 400 mil toneladas de brita no período</w:t>
      </w:r>
      <w:r>
        <w:t xml:space="preserve">, ou cerca de </w:t>
      </w:r>
      <w:r>
        <w:rPr>
          <w:b/>
          <w:bCs/>
        </w:rPr>
        <w:t xml:space="preserve">70 a 100 mil toneladas de brita por ano</w:t>
      </w:r>
      <w:r>
        <w:t xml:space="preserve"> de demanda extraordinária enquanto as obras correm — acima da própria demanda corrente da sede. Somam-se ainda o Fundo Cidades (~R$ 59 mi), a requalificação do Sítio Histórico do Porto (&gt;R$ 10 mi), a reforma do Mercado Municipal e a Bacia 3 da macrodrenagem, ainda por licitar.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rPr>
          <w:b w:val="0"/>
        </w:rPr>
        <w:t>Cruzando as três camadas: a oferta de brita instalada dentro do mercado-base é nula — não há cava de brita em São Mateus, em Conceição da Barra nem em Boa Esperança; a operação mais próxima é a Usibrita, ~5 mil t/ano, em Jaguaré, a 57,1 km da sede (item 6.1). A demanda só das obras públicas catalogadas é da ordem de 70 a 100 mil t/ano, e a demanda corrente do mercado-base é de cerca de 296 mil t/ano (piso de robustez: ~260 mil). A região consome muito mais brita do que produz por perto, importando-a de 60 a 140 km com frete caro (Mattar 66,8 km; MCL 75,5 km; Sangali ~100 km; Linhares–Aracruz 85–142 km). A questão de fundo — se as obras dividem um mercado pequeno ou o ampliam — se responde pelos números: o mercado cresce, e a CIPREM, a 40,7 km da sede, entra com a maior vantagem de frete. No platô, a produção de 237,5 mil t/ano equivale a 41–56% do mercado endereçável de 421–577 mil t/ano (item 6.2). Pela via de baixo para cima, a captura ponderada pelos pesos de penetração do item 8 resulta em 207 a 245 mil t/ano, faixa em que o platô se posiciona a 81% — consistente, porém condicionada à entrega do programa de vendas CIF, já que a sede sozinha não sustenta o platô. Para comparação de porte, a Sangali realiza ~360 mil t/ano na própria zona de influência.</w:t>
      </w:r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rPr>
          <w:b w:val="0"/>
        </w:rPr>
        <w:t>Combinando a demanda corrente do mercado-base (≈ 296 mil t/ano; piso prudente de 260 mil), o mercado endereçável de 421–577 mil t/ano, o ciclo extraordinário de obras públicas e o crescimento populacional de 13,5% na década, projeta-se demanda regional sustentada por agregados ao longo de todo o horizonte do financiamento. Mesmo em cenário conservador, considerando apenas a expansão vegetativa do setor (~5% a.a. para brita, expectativa ANEPAC), o mercado comporta um novo produtor com vantagem logística no polo de São Mateus. O platô de 237,5 mil t/ano equivale, por sua vez, ao nível já praticado pela unidade do grupo na Bahia (item 2.4) — o que desloca a pergunta de "é possível produzir isso?" para "é possível vender isso?", respondida pelos pesos do item 8.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rPr>
          <w:b w:val="0"/>
        </w:rPr>
        <w:t>Foi levantado um censo de 44 consumidores de agregado na área de influência (concreteiras, construtoras, pré-moldados, loteadoras e lojas de material), com nome, contato, praça e distância — detalhado em planilha anexa. Aplicando índices setoriais por porte, a demanda de brita mapeada nesses clientes é da ordem de 192 mil t/ano — um piso, pois não inclui a autoconstrução pulverizada nem as obras públicas. Sob a premissa conservadora da versão anterior (captura de 35% na praça de vantagem e 15% na de expansão), o volume capturável seria de ~62 mil t/ano. Esse número permanece aqui como piso histórico e NÃO é a base do dimensionamento: a projeção usa os pesos de penetração do item 8, sensivelmente maiores, que resultam em 207 a 245 mil t/ano. Refazer o cálculo cliente a cliente sob os novos pesos depende da planilha do censo, listada entre as pendências do item 11.</w:t>
      </w:r>
    </w:p>
    <w:p>
      <w:pPr>
        <w:spacing w:after="140" w:line="276"/>
        <w:jc w:val="both"/>
      </w:pPr>
      <w:r>
        <w:rPr>
          <w:b w:val="0"/>
        </w:rPr>
        <w:t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de classificação 'Alta' dentro da fronteira FOB,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t xml:space="preserve">Guriri é um balneário em malha planejada (avenidas e ruas numeradas, com avenidas até a 11ª e ruas até a 31ª), com cerca de 8 km de extensão norte-sul, historicamente com vias precárias e sujeitas a alagamento. O plano-mestre de macrodrenagem e pavimentação, dividido em três bacias, equivale, na prática, à pavimentação de toda a malha principal do balneário — estimada em </w:t>
      </w:r>
      <w:r>
        <w:rPr>
          <w:b/>
          <w:bCs/>
        </w:rPr>
        <w:t xml:space="preserve">~40 a 48 km de vias / 350 a 400 mil m²</w:t>
      </w:r>
      <w:r>
        <w:t xml:space="preserve"> de pavimento, ancorada nas quantidades já contratadas (Bacia 1: 13,5 km e ~125 mil m²; Bacia 2: até 10,6 km de galerias).</w:t>
      </w:r>
    </w:p>
    <w:p>
      <w:pPr>
        <w:spacing w:after="140" w:line="276"/>
        <w:jc w:val="both"/>
      </w:pPr>
      <w:r>
        <w:t xml:space="preserve">As Bacias 1 e 2 já endereçam algo como </w:t>
      </w:r>
      <w:r>
        <w:rPr>
          <w:b/>
          <w:bCs/>
        </w:rPr>
        <w:t xml:space="preserve">22 a 30 km de vias</w:t>
      </w:r>
      <w:r>
        <w:t xml:space="preserve">. Restam, para os próximos anos, a Bacia 3 e as ruas fora das bacias — estimadas em </w:t>
      </w:r>
      <w:r>
        <w:rPr>
          <w:b/>
          <w:bCs/>
        </w:rPr>
        <w:t xml:space="preserve">~15 a 20 km / 125 a 150 mil m²</w:t>
      </w:r>
      <w:r>
        <w:t xml:space="preserve">, o que representa de </w:t>
      </w:r>
      <w:r>
        <w:rPr>
          <w:b/>
          <w:bCs/>
        </w:rPr>
        <w:t xml:space="preserve">75 a 90 mil toneladas de brita</w:t>
      </w:r>
      <w:r>
        <w:t xml:space="preserve"> de demanda potencial só na pavimentação remanescente de Guriri. A isso se soma o fluxo contínuo de novos loteamentos (Pontal de Guriri II, Portal do Ribeirão, Mar Aberto, entre outros),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</w:rPr>
        <w:t xml:space="preserve">Fronteira FOB — prioridade total. </w:t>
      </w:r>
      <w:r>
        <w:rPr>
          <w:b w:val="0"/>
        </w:rPr>
        <w:t>São Mateus sede, Guriri e o corredor de Nestor Gomes — um só município, contado uma única vez na demanda do item 6 — é onde a CIPREM produz mais perto que qualquer concorrente, de qualquer porte, e onde estão o grosso da demanda e as obras. A vantagem sobre o concorrente de volume mais próximo (Mattar, 66,8 km) é de R$ 23,8/t, chegando a R$ 31,7/t contra a MCL (75,5 km); mesmo contra o produtor mais próximo de todos, a Usibrita (57,1 km), a margem é de R$ 14,9/t. Dentro do município há ainda um gradiente de margem que orienta a prioridade comercial, sem constituir mercado adicional: entregar junto à cava custa R$ 11,2/t de frete (12,3 km até o distrito-sede de Nestor Gomes, medidos) contra R$ 37,0/t até a sede municipal — a mesma tonelada rende mais quanto mais perto for vendida. Conceição da Barra e Boa Esperança entram por paridade de frete (−R$ 5,2/t e −R$ 5,1/t, ambas contra a Mattar) e ausência de produtor local. Estratégia: preço competitivo posto-obra, atendimento ágil — explorando a falha de serviço documentada da loja concorrente na praça — e foco nas empreiteiras e na Prefeitura.</w:t>
      </w:r>
    </w:p>
    <w:p>
      <w:pPr>
        <w:spacing w:after="140" w:line="276"/>
        <w:jc w:val="both"/>
      </w:pPr>
      <w:r>
        <w:rPr>
          <w:b/>
        </w:rPr>
        <w:t xml:space="preserve">Fronteira CIF — expansão com frota própria. </w:t>
      </w:r>
      <w:r>
        <w:rPr>
          <w:b w:val="0"/>
        </w:rPr>
        <w:t>Jaguaré, Nova Venécia e Pinheiros são praças onde a CIPREM perde no frete FOB (de R$ 28,8 a R$ 37,2/t de desvantagem) e cuja captura, portanto, não se apoia em geometria e sim em lacuna de capacidade e falha de serviço do incumbente — daí os pesos baixos que lhes são atribuídos. O instrumento é a entrega própria: o modelo prevê 35% das vendas em CIF, frota de 64.800 t/ano (2 conjuntos Actros+Rossetti, ~30,7 t líquidas por viagem), frete médio de R$ 41/t (45 km × R$ 0,91/t·km) e custo do frete próprio a 72% da receita de frete. As distâncias medidas confirmam a premissa: ponderando as praças pelos pesos de captura, o raio médio de entrega resulta em 45,7 km, equivalentes a R$ 41,6/t. O lastro é empírico: a unidade do grupo na Bahia converte R$ 74/t FOB em R$ 116/t médios realizados, sendo cerca de 36% da receita bruta margem logística. O limite da zona CIF é a capacidade da frota — 64.800 t/ano cobrem 27% do platô, e não se deve supor alcance ilimitado. Pedro Canário e a franja norte (Montanha, Mucurici, Ponto Belo) ficam fora das projeções: há vazio de oferta, mas a desvantagem de frete não é compensável.</w:t>
      </w:r>
    </w:p>
    <w:p>
      <w:pPr>
        <w:spacing w:after="140" w:line="276"/>
        <w:jc w:val="both"/>
      </w:pPr>
      <w:r>
        <w:rPr>
          <w:b/>
        </w:rPr>
        <w:t xml:space="preserve">Pesos de penetração adotados. </w:t>
      </w:r>
      <w:r>
        <w:rPr>
          <w:b w:val="0"/>
        </w:rPr>
        <w:t>São Mateus sede, Guriri e corredor, 65% — único produtor do município, com R$ 23,8/t sobre o concorrente de volume mais próximo. Conceição da Barra, 25% — paridade de frete (−R$ 5,2/t), sem produtor local. Boa Esperança, 15% — praça-base desde esta versão, em paridade de frete (−R$ 5,1/t contra a Mattar, a 22,3 km); peso mantido abaixo do de Conceição da Barra por conservadorismo, dado o trecho não pavimentado da Rod. Willes Jantorno e o relacionamento do incumbente. Jaguaré, 20% — desvantagem de frete (−R$ 28,8/t), mas incumbente sem capacidade. Nova Venécia e Pinheiros, 10% — praça-sede de concorrente, captura só por CIF e serviço. Pedro Canário, franja norte, sul da Bahia e nordeste de Minas, 0% — desvantagem sem compensação. Obras públicas, 60% — proximidade e ausência de produtor local. Aplicados às faixas de demanda do item 6, esses pesos resultam em captura de 207 a 245 mil t/ano — faixa inalterada, já que Boa Esperança apenas mudou de camada e manteve o mesmo peso. Registre-se que o sul da Bahia e o nordeste de Minas foram deliberadamente excluídos por limitação de apuração: as varreduras voltaram superficiais por bloqueio de acesso às fontes, e nenhum vazio de oferta pôde ser substanciado.</w:t>
      </w:r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rPr>
          <w:b w:val="0"/>
        </w:rPr>
        <w:t>Do ponto de vista mercadológico, a implantação da unidade de britagem da CIPREM em Nestor Gomes/São Mateus apresenta-se viável e bem fundamentada. Os argumentos centrais são: (i) demanda corrente de brita estimada em cerca de 296 mil t/ano no mercado-base de três municípios sem produtor instalado e dentro do raio econômico — São Mateus, Conceição da Barra e Boa Esperança, 177.400 hab, índice exato de 1,669 t/hab/ano de 2025; piso prudente de 260 mil — e mercado endereçável de 421–577 mil t/ano somadas a praça disputada de Jaguaré, as praças alcançáveis por CIF e as obras — contra o qual o platô de 237,5 mil t/ano representa 41 a 56%; (ii) um ciclo extraordinário de obras públicas (&gt;R$ 1 bilhão) que adiciona 70–100 mil t/ano de brita durante a janela de construção, além do potencial de 450–520 mil t da pavimentação remanescente de Guriri, do qual as projeções incorporam apenas 75–90 mil t; (iii) vantagem logística estrutural e medida em roteirizador — R$ 23,8/t sobre o concorrente de volume mais próximo na sede, R$ 31,7/t sobre a MCL e R$ 14,9/t mesmo sobre o produtor mais próximo de todos, em produto cujo preço posto é dominado pelo frete; (iv) concorrência em que nem o produtor mais próximo alcança a CIPREM no frete — a Usibrita chega a São Mateus de 57,1 km contra 40,7 km, R$ 14,9/t atrás — e que, além disso, não tem escala para disputar volume, com falhas de atendimento exploráveis; e (v) respaldo de um grupo cuja unidade em operação já pratica, em 2025, volume 0,5% superior ao platô aqui projetado. A captura ponderada por praça resulta em 207–245 mil t/ano, faixa que comporta o platô, desde que executado o programa de vendas CIF descrito no item 8.</w:t>
      </w:r>
    </w:p>
    <w:p>
      <w:pPr>
        <w:spacing w:after="140" w:line="276"/>
        <w:jc w:val="both"/>
      </w:pPr>
      <w:r>
        <w:rPr>
          <w:b w:val="0"/>
        </w:rPr>
        <w:t>Recomenda-se que o projeto prossiga, condicionado à confirmação dos itens do quadro abaixo e à execução do programa de vendas CIF, sem o qual a fronteira FOB isolada não sustenta o platô de 237.516 t/ano.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Movimentação da pilha de ROM na virada de 2025. </w:t>
      </w:r>
      <w:r>
        <w:rPr>
          <w:b w:val="0"/>
        </w:rPr>
        <w:t>A unidade do grupo desmontou 236.280 t e britou 216.385 t em 2025 — diferença de 19.895 t. A verificação do processo produtivo (item 2.5) afastou a hipótese de perda de britagem: o circuito é fechado, o escalpe vira bica corrida, não há lavagem e as frações finas são produto. A diferença corresponde a estoque de rocha detonada e ainda não britada, coerente com o desmonte em campanhas e com o pulmão recomendado de 20 a 25 mil t. Resta confirmar com o cliente o saldo da pilha de ROM em 31/12/2024 e 31/12/2025 — um número da mesma planilha operacional que forneceu as demais colunas —, o que encerra a conciliação. O modelo não aplica fator de rendimento, e a linha ROBUSTEZ da aba Sensibilidade permanece como teste de estresse, não como hipótese de trabalho.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Mix de produtos: PAE × modelo comercial. </w:t>
      </w:r>
      <w:r>
        <w:rPr>
          <w:b w:val="0"/>
        </w:rPr>
        <w:t>O PAE declara mix com 40% de pó de pedra; o modelo financeiro adota 27%, com o restante distribuído entre britas graduadas, pedrisco e bica corrida. A R$ 35/t para o pó contra R$ 85 a 90/t das britas, o mix do PAE resultaria em preço FOB ponderado de R$ 66,25/t contra os R$ 68,54/t do modelo — 3,3% de diferença, que levaria o comprometimento de 44,64% para 46,39% e a folga sobre o pleito de R$ 2,11 mi para R$ 1,36 mi. O projeto segue dentro da janela nas duas hipóteses. Solicitar ao fabricante a curva granulométrica garantida do circuito — item já previsto entre as exigências de fechamento do fornecimento — para fixar o mix comercial efetivo, que depende da regulagem dos britadores e da demanda, e não do mix de projeto declarado anos antes.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Condicionantes de horário de operação. </w:t>
      </w:r>
      <w:r>
        <w:rPr>
          <w:b w:val="0"/>
        </w:rPr>
        <w:t>Os regimes de 16 h e 20 h citados no item 2.4 pressupõem turno noturno. Conferir as condicionantes da LI IEMA nº 000478/2025-D e a licença municipal de São Mateus; havendo restrição por ruído, a resiliência a chuva deve ser apresentada apenas até o regime efetivamente autorizado.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 da boca da jazida. </w:t>
      </w:r>
      <w:r>
        <w:rPr>
          <w:b w:val="0"/>
        </w:rPr>
        <w:t>Parcialmente resolvida: o PAE registra o site em UTM 24K (SIRGAS2000) 376.291 E / 7.935.121 N — GPS -18.67144, -40.17303 —, na Estrada de Taquarussu, s/n, Km 35, Nestor Gomes; a captação no Rio Cricaré (375.964/7.934.897) confere a ~400 m. Toda a régua do item 4 já foi remedida a partir dessa referência. Restam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Coordenadas das cavas e refino final da régua. </w:t>
      </w:r>
      <w:r>
        <w:rPr>
          <w:b w:val="0"/>
        </w:rPr>
        <w:t>Resolvidas nesta versão as três divergências que restavam. A da MCL: o estudo adotava 62 km até a sede de São Mateus por ser a hipótese menos favorável à CIPREM, enquanto o teste de coordenadas indicava ~74 km; a medição deu 75,5 km, confirmando o teste. A da Usibrita: a coordenada da cava (-18,873416, -40,198803) situa-a a 57,1 km da sede — e não aos ~40 km antes estimados —, o que converte a única linha de paridade da régua em vantagem de R$ 14,9/t para a CIPREM e confirma, por triangulação, os ~8 km entre a Usibrita e a sede de Jaguaré. A de Nestor Gomes: o distrito-sede está a 12,3 km da jazida, medidos — valor que passou a servir à leitura de margem interna do item 8, e não à régua competitiva, da qual a linha do corredor foi retirada por ser localidade do próprio município de São Mateus, já contado uma vez. Com isso a régua do item 4 repousa inteiramente em distâncias medidas ponta a ponta, salvo as internas dos concorrentes às próprias sedes. Seguem pendentes, para refino e não para o argumento,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Planilha do censo de 44 clientes. </w:t>
      </w:r>
      <w:r>
        <w:rPr>
          <w:b w:val="0"/>
        </w:rPr>
        <w:t>Citada no item 7.1 e ausente do acervo entregue; necessária para converter a estimativa top-down em carteira nominal.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Relatório Final de Pesquisa e/ou nova cubagem. </w:t>
      </w:r>
      <w:r>
        <w:rPr>
          <w:b w:val="0"/>
        </w:rPr>
        <w:t>A medição de 2019 cobriu apenas o afloramento AF-01 a ~10 m de profundidade e não constitui declaração de reserva da jazida. O número definitivo virá do RFP do processo-mãe 896.059/2012 ou de cubagem atualizada — pré-requisito do pleito integral, não deste estudo de mercado, que adota como teto operativo apenas a licença ambiental.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Status e valores das obras públicas na data do protocolo. </w:t>
      </w:r>
      <w:r>
        <w:rPr>
          <w:b w:val="0"/>
        </w:rPr>
        <w:t>A Bacia 1 da macrodrenagem de Guriri (R$ 321,8 mi) teve edital em mar/2026, sem confirmação de vencedor, homologação ou contrato assinado até ago/2026 — tratada como obra anunciada, não contratada. A Bacia 3 permanece apenas no cenário otimista, por declaração do próprio DER-ES de que não há previsão de início.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Índice de consumo per capita. </w:t>
      </w:r>
      <w:r>
        <w:rPr>
          <w:b w:val="0"/>
        </w:rPr>
        <w:t>Reconfirmar o dado ANEPAC mais recente que o de base 2014 e validar o índice de brita (1,669 t/hab/ano, dado 2025) na fonte primária, abrindo o painel do Anuário Mineral Brasileiro.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Número de casas/ano e alvarás de construção em São Mateus. </w:t>
      </w:r>
      <w:r>
        <w:rPr>
          <w:b w:val="0"/>
        </w:rPr>
        <w:t>Buscar diretamente na Prefeitura (alvarás e Habite-se) para triangular a demanda de autoconstrução.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Conferência visual no SIGMINE. </w:t>
      </w:r>
      <w:r>
        <w:rPr>
          <w:b w:val="0"/>
        </w:rPr>
        <w:t>Acesso indisponível no ambiente desta pesquisa; anexar o print por município na versão de protocolo.</w:t>
      </w:r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rPr>
          <w:b w:val="0"/>
        </w:rPr>
        <w:t>[16] DER-ES — Contorno de São Mateus (ES-318): 24 km, R$ 165 mi, 870 dias; LI 000292/2024-D. Disponível em: https://der.es.gov.br/Not%C3%ADcia/es-318-der-reune-moradores-e-discute-projeto-do-contorno-de-sao-mateus. Acesso em: 14/06/2026. Nota: o valor de R$ 165 mi é o do contrato original de 2021 (R$ 164,2 mi); dois termos aditivos elevaram-no a R$ 190,2 mi, valor adotado na tabela do item 6.3. As comunicações do DER-ES seguem citando o valor original.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