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56291C" w14:textId="77777777" w:rsidR="00326C65" w:rsidRDefault="00000000">
      <w:pPr>
        <w:spacing w:after="120"/>
        <w:jc w:val="center"/>
      </w:pPr>
      <w:r>
        <w:rPr>
          <w:b/>
          <w:bCs/>
          <w:sz w:val="28"/>
          <w:szCs w:val="28"/>
        </w:rPr>
        <w:t>CARTA CONSULTA – PROPOSTA DE NEGOCIAÇÃO</w:t>
      </w:r>
    </w:p>
    <w:p w14:paraId="5473CF72" w14:textId="3555E6C7" w:rsidR="00326C65" w:rsidRDefault="00000000">
      <w:pPr>
        <w:spacing w:after="60"/>
        <w:jc w:val="center"/>
      </w:pPr>
      <w:r>
        <w:rPr>
          <w:i/>
          <w:iCs/>
          <w:color w:val="C00000"/>
          <w:sz w:val="18"/>
          <w:szCs w:val="18"/>
        </w:rPr>
        <w:t>MINUTA PARA A AGÊNCIA —</w:t>
      </w:r>
      <w:r w:rsidR="006C41C6">
        <w:rPr>
          <w:i/>
          <w:iCs/>
          <w:color w:val="C00000"/>
          <w:sz w:val="18"/>
          <w:szCs w:val="18"/>
        </w:rPr>
        <w:t>C</w:t>
      </w:r>
      <w:r>
        <w:rPr>
          <w:i/>
          <w:iCs/>
          <w:color w:val="C00000"/>
          <w:sz w:val="18"/>
          <w:szCs w:val="18"/>
        </w:rPr>
        <w:t>ampos [ENTRE COLCHETES] a preencher/conferir</w:t>
      </w:r>
    </w:p>
    <w:p w14:paraId="30BF458A" w14:textId="77777777" w:rsidR="006C41C6" w:rsidRDefault="006C41C6">
      <w:pPr>
        <w:spacing w:after="60"/>
        <w:rPr>
          <w:b/>
          <w:bCs/>
          <w:sz w:val="24"/>
          <w:szCs w:val="24"/>
        </w:rPr>
      </w:pPr>
    </w:p>
    <w:p w14:paraId="79EA22B3" w14:textId="3B832215" w:rsidR="00326C65" w:rsidRDefault="00000000">
      <w:pPr>
        <w:spacing w:after="60"/>
      </w:pPr>
      <w:r>
        <w:rPr>
          <w:b/>
          <w:bCs/>
          <w:sz w:val="24"/>
          <w:szCs w:val="24"/>
        </w:rPr>
        <w:t>CLIENTE</w:t>
      </w:r>
    </w:p>
    <w:p w14:paraId="26422883" w14:textId="77777777" w:rsidR="00326C65" w:rsidRDefault="00000000">
      <w:pPr>
        <w:spacing w:after="160" w:line="276" w:lineRule="auto"/>
        <w:jc w:val="both"/>
      </w:pPr>
      <w:r>
        <w:rPr>
          <w:b/>
          <w:bCs/>
        </w:rPr>
        <w:t xml:space="preserve">CIPREM – Cimento e </w:t>
      </w:r>
      <w:proofErr w:type="spellStart"/>
      <w:r>
        <w:rPr>
          <w:b/>
          <w:bCs/>
        </w:rPr>
        <w:t>Premoldados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Ltda</w:t>
      </w:r>
      <w:r>
        <w:t xml:space="preserve">  ·</w:t>
      </w:r>
      <w:proofErr w:type="gramEnd"/>
      <w:r>
        <w:t xml:space="preserve">  CNPJ: 05.343.456/0001-78</w:t>
      </w:r>
    </w:p>
    <w:p w14:paraId="5318EA41" w14:textId="77777777" w:rsidR="00326C65" w:rsidRPr="006C41C6" w:rsidRDefault="00000000">
      <w:pPr>
        <w:spacing w:before="320" w:after="200"/>
      </w:pPr>
      <w:r w:rsidRPr="006C41C6">
        <w:rPr>
          <w:b/>
          <w:bCs/>
          <w:sz w:val="26"/>
          <w:szCs w:val="26"/>
        </w:rPr>
        <w:t>1. PERFIL DO PROPONENTE</w:t>
      </w:r>
    </w:p>
    <w:p w14:paraId="7DDF9015" w14:textId="35D26845" w:rsidR="00326C65" w:rsidRDefault="00000000">
      <w:pPr>
        <w:spacing w:after="160" w:line="276" w:lineRule="auto"/>
        <w:jc w:val="both"/>
      </w:pPr>
      <w:r>
        <w:t xml:space="preserve">A CIPREM – Cimento e </w:t>
      </w:r>
      <w:proofErr w:type="spellStart"/>
      <w:r>
        <w:t>Premoldados</w:t>
      </w:r>
      <w:proofErr w:type="spellEnd"/>
      <w:r>
        <w:t xml:space="preserve"> Ltda é sociedade limitada constituída em 09/10/2002, com sede em São Mateus/ES, integrante do grupo empresarial da família Colombi — grupo com </w:t>
      </w:r>
      <w:r>
        <w:rPr>
          <w:color w:val="C00000"/>
        </w:rPr>
        <w:t xml:space="preserve">mais de 20 anos de atuação</w:t>
      </w:r>
      <w:r>
        <w:t xml:space="preserve"> em mineração, britagem e concreto, com operações na Bahia, em Minas Gerais e no Espírito Santo.</w:t>
      </w:r>
      <w:r w:rsidR="006C41C6" w:rsidRPr="006C41C6">
        <w:t/>
      </w:r>
      <w:r w:rsidRPr="006C41C6">
        <w:t/>
      </w:r>
      <w:r>
        <w:t xml:space="preserve"/>
      </w:r>
    </w:p>
    <w:p w14:paraId="04A778FB" w14:textId="546232C6" w:rsidR="00326C65" w:rsidRPr="00C3733B" w:rsidRDefault="00000000">
      <w:pPr>
        <w:spacing w:after="160" w:line="276" w:lineRule="auto"/>
        <w:jc w:val="both"/>
      </w:pPr>
      <w:r>
        <w:t xml:space="preserve">A empresa âncora, Mineração São Vicente Ltda (Itagimirim/BA, fundada em 2004), posiciona-se como a maior e mais tradicional produtora de agregados do Extremo Sul Baiano, </w:t>
      </w:r>
      <w:r w:rsidRPr="00C3733B">
        <w:t xml:space="preserve"/>
      </w:r>
      <w:r>
        <w:rPr>
          <w:color w:val="C00000"/>
        </w:rPr>
        <w:t xml:space="preserve">e opera pedreira histórica da região, aberta na década de 1970 para a construção da BR-101.</w:t>
      </w:r>
      <w:r w:rsidRPr="00C3733B">
        <w:t xml:space="preserve"> </w:t>
      </w:r>
      <w:r w:rsidRPr="00C3733B">
        <w:rPr>
          <w:color w:val="EE0000"/>
        </w:rPr>
        <w:t/>
      </w:r>
      <w:r w:rsidRPr="00C3733B">
        <w:t xml:space="preserve"/>
      </w:r>
      <w:r w:rsidR="00C3733B" w:rsidRPr="00C3733B">
        <w:t>O</w:t>
      </w:r>
      <w:r w:rsidRPr="00C3733B">
        <w:t xml:space="preserve"> grupo reúne 6 empresas ativas e cerca de 16 estabelecimentos em mais de 10 municípios da Bahia e de Minas Gerais — todos em área de atuação do FNE/SUDENE —, em cadeia verticalizada da extração ao concreto usinado </w:t>
      </w:r>
      <w:r w:rsidRPr="00C3733B">
        <w:rPr>
          <w:highlight w:val="yellow"/>
        </w:rPr>
        <w:t>e às obras rodoviárias</w:t>
      </w:r>
      <w:r w:rsidRPr="00C3733B">
        <w:t xml:space="preserve">. O grupo mantém </w:t>
      </w:r>
      <w:r w:rsidR="00C3733B" w:rsidRPr="00C3733B">
        <w:t xml:space="preserve">várias </w:t>
      </w:r>
      <w:r w:rsidRPr="00C3733B">
        <w:t>pedreira</w:t>
      </w:r>
      <w:r w:rsidR="00C3733B" w:rsidRPr="00C3733B">
        <w:t>s</w:t>
      </w:r>
      <w:r w:rsidRPr="00C3733B">
        <w:t xml:space="preserve"> de </w:t>
      </w:r>
      <w:r w:rsidR="00C3733B" w:rsidRPr="00C3733B">
        <w:t>britagem</w:t>
      </w:r>
      <w:r w:rsidRPr="00C3733B">
        <w:t xml:space="preserve"> em plena atividade com o mesmo processo produtivo e o mesmo portfólio de produtos do empreendimento proposto.</w:t>
      </w:r>
    </w:p>
    <w:p w14:paraId="27D8F8B2" w14:textId="46C4FA7F" w:rsidR="00326C65" w:rsidRPr="00C3733B" w:rsidRDefault="00000000">
      <w:pPr>
        <w:spacing w:after="160" w:line="276" w:lineRule="auto"/>
        <w:jc w:val="both"/>
      </w:pPr>
      <w:r w:rsidRPr="00C3733B">
        <w:t xml:space="preserve">As unidades de britagem do grupo operam com britadores METSO e laboratório próprio de controle tecnológico — exatamente a tecnologia especificada no projeto da CIPREM (britadores Metso C117 e HP350e). Essa experiência em atividade idêntica à do projeto evidencia a capacidade técnica e gerencial do grupo e reduz os riscos de implantação e de </w:t>
      </w:r>
      <w:r w:rsidR="00C3733B" w:rsidRPr="00C3733B">
        <w:t>maturação</w:t>
      </w:r>
      <w:r w:rsidRPr="00C3733B">
        <w:t xml:space="preserve"> do empreendimento.</w:t>
      </w:r>
    </w:p>
    <w:p w14:paraId="49C99164" w14:textId="77777777" w:rsidR="00326C65" w:rsidRPr="00C3733B" w:rsidRDefault="00000000">
      <w:pPr>
        <w:spacing w:before="320" w:after="200"/>
      </w:pPr>
      <w:r w:rsidRPr="00C3733B">
        <w:rPr>
          <w:b/>
          <w:bCs/>
          <w:sz w:val="26"/>
          <w:szCs w:val="26"/>
        </w:rPr>
        <w:t>2. PROPOSIÇÃO</w:t>
      </w:r>
    </w:p>
    <w:p w14:paraId="54DB832B" w14:textId="074203B7" w:rsidR="00326C65" w:rsidRDefault="00000000">
      <w:pPr>
        <w:spacing w:after="160" w:line="276" w:lineRule="auto"/>
        <w:jc w:val="both"/>
      </w:pPr>
      <w:r>
        <w:t xml:space="preserve">A presente proposta tem por objeto a contratação de financiamento junto ao Fundo Constitucional de Financiamento do Nordeste (FNE) destinado à implantação de pedreira de granito com planta de britagem para produção de agregados </w:t>
      </w:r>
      <w:r w:rsidRPr="00C3733B">
        <w:t>(</w:t>
      </w:r>
      <w:r w:rsidR="00C3733B" w:rsidRPr="00C3733B">
        <w:t>B</w:t>
      </w:r>
      <w:r w:rsidRPr="00C3733B">
        <w:t xml:space="preserve">rita 0, </w:t>
      </w:r>
      <w:proofErr w:type="gramStart"/>
      <w:r w:rsidR="00C3733B" w:rsidRPr="00C3733B">
        <w:t>B</w:t>
      </w:r>
      <w:r w:rsidRPr="00C3733B">
        <w:t>rita</w:t>
      </w:r>
      <w:proofErr w:type="gramEnd"/>
      <w:r w:rsidRPr="00C3733B">
        <w:t xml:space="preserve"> 1, </w:t>
      </w:r>
      <w:proofErr w:type="gramStart"/>
      <w:r w:rsidR="00C3733B" w:rsidRPr="00C3733B">
        <w:t>B</w:t>
      </w:r>
      <w:r w:rsidRPr="00C3733B">
        <w:t>rita</w:t>
      </w:r>
      <w:proofErr w:type="gramEnd"/>
      <w:r w:rsidRPr="00C3733B">
        <w:t xml:space="preserve"> 2, </w:t>
      </w:r>
      <w:proofErr w:type="spellStart"/>
      <w:r w:rsidR="00C3733B" w:rsidRPr="00C3733B">
        <w:t>G</w:t>
      </w:r>
      <w:r w:rsidRPr="00C3733B">
        <w:t>ravilinha</w:t>
      </w:r>
      <w:proofErr w:type="spellEnd"/>
      <w:r w:rsidRPr="00C3733B">
        <w:t xml:space="preserve">, </w:t>
      </w:r>
      <w:r w:rsidR="00C3733B" w:rsidRPr="00C3733B">
        <w:t>P</w:t>
      </w:r>
      <w:r w:rsidRPr="00C3733B">
        <w:t>ó de pedra e BGS/</w:t>
      </w:r>
      <w:r w:rsidR="00C3733B" w:rsidRPr="00C3733B">
        <w:t>S</w:t>
      </w:r>
      <w:r w:rsidRPr="00C3733B">
        <w:t>olo-brita), no distrito de Nestor Gome</w:t>
      </w:r>
      <w:r>
        <w:t>s, município de São Mateus/ES.</w:t>
      </w:r>
    </w:p>
    <w:p w14:paraId="0443DA4C" w14:textId="77777777" w:rsidR="00326C65" w:rsidRPr="00C3733B" w:rsidRDefault="00000000">
      <w:pPr>
        <w:spacing w:after="160" w:line="276" w:lineRule="auto"/>
        <w:jc w:val="both"/>
        <w:rPr>
          <w:color w:val="EE0000"/>
        </w:rPr>
      </w:pPr>
      <w:r>
        <w:t>O empreendimento compreende planta de britagem de 170–180 toneladas/hora — britadores Metso (mandíbulas C117 e cônico HP350e) — com produção estimada crescente: de ~3.500 m³/mês de produto no 1º ano de operação até ~13.200 m³/mês a partir do 3º ano, amparado pelo Registro de Licença ANM nº 8/2021 (validade até 31/08/2029) e pela Licença de Instalação IEMA nº 000478/2025-D (válida até 16/10/2029).</w:t>
      </w:r>
    </w:p>
    <w:p w14:paraId="0443DA4C" w14:textId="77777777" w:rsidR="00326C65" w:rsidRPr="00C3733B" w:rsidRDefault="00000000">
      <w:pPr>
        <w:spacing w:after="160" w:line="276" w:lineRule="auto"/>
        <w:jc w:val="both"/>
        <w:rPr>
          <w:color w:val="EE0000"/>
        </w:rPr>
      </w:pPr>
      <w:r>
        <w:t>O platô de regime corresponde a 7.200 m³ in situ/mês — 19.793 t/mês ou 237.516 t/ano pela densidade de 2,749 t/m³ do PAE —, equivalentes a 90% do volume licenciado e a 40% da capacidade instalada declarada no PAE (50.000 t/mês). Mesmo se a licença fosse integralmente esgotada, a planta operaria a 44% do que comporta: o limite do empreendimento é legal, não mecânico, e nenhum cenário deste pleito prevê produção acima do volume licenciado. Essa folga tem função operacional definida — como a licença limita o volume do mês e não o ritmo do dia, os dias de lavra perdidos para chuva são recompostos estendendo a jornada nos dias restantes, sem alterar o volume mensal. Como referência de exequibilidade, o platô proposto está 0,5% acima das 236.280 t de rocha que a unidade do grupo em Porto Seguro/BA desmontou em 2025.</w:t>
      </w:r>
    </w:p>
    <w:p w14:paraId="3A1A48A3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 xml:space="preserve">O investimento total do projeto é de R$ 25.568.924,08, assim distribuído:</w:t>
      </w:r>
    </w:p>
    <w:p w14:paraId="1D616371" w14:textId="77777777" w:rsidR="00326C65" w:rsidRPr="00C3733B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 xml:space="preserve">Infraestrutura e obras civis — terraplenagem, acessos, edificações, balança rodoviária, subestação de energia e drenagem: R$ 3.650.000,00;</w:t>
      </w:r>
    </w:p>
    <w:p w14:paraId="1D616371" w14:textId="77777777" w:rsidR="00326C65" w:rsidRPr="00C3733B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 xml:space="preserve">Planta de britagem — alimentador, britadores primário e secundário, peneiras e correias transportadoras: R$ 6.504.690,97;</w:t>
      </w:r>
    </w:p>
    <w:p w14:paraId="1D616371" w14:textId="77777777" w:rsidR="00326C65" w:rsidRPr="00C3733B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 xml:space="preserve">Máquinas de lavra (linha amarela) — perfuratriz, escavadeiras, pás carregadeiras e caminhões basculantes: R$ 7.526.000,00;</w:t>
      </w:r>
    </w:p>
    <w:p w14:paraId="1D616371" w14:textId="77777777" w:rsidR="00326C65" w:rsidRPr="00C3733B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 xml:space="preserve">Transportes — carretas de entrega, ônibus de funcionários, caminhão-pipa e utilitários: R$ 3.207.319,90;</w:t>
      </w:r>
    </w:p>
    <w:p w14:paraId="1D616371" w14:textId="77777777" w:rsidR="00326C65" w:rsidRPr="00C3733B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 xml:space="preserve">Capital de giro associado — inclui o programa de segurança e saúde ocupacional (EPIs e treinamentos, NR-22): R$ 4.680.913,21.</w:t>
      </w:r>
    </w:p>
    <w:p w14:paraId="3A1A48A3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 xml:space="preserve">Do total, R$ 20.888.010,87 (82%) correspondem a investimento fixo e R$ 4.680.913,21 (18%) a capital de giro associado — proporção compatível com a fase de implantação e maturação do empreendimento.</w:t>
      </w:r>
    </w:p>
    <w:p w14:paraId="3A1A48A3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 xml:space="preserve">A estrutura financeira proposta é composta por:</w:t>
      </w:r>
    </w:p>
    <w:p w14:paraId="1D616371" w14:textId="77777777" w:rsidR="00326C65" w:rsidRPr="00C3733B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 w:rsidRPr="00C3733B">
        <w:rPr>
          <w:color w:val="C00000"/>
        </w:rPr>
        <w:t xml:space="preserve">Financiamento FNE: até R$ 24.290.477,88, correspondente a 95% do investimento;</w:t>
      </w:r>
      <w:r>
        <w:rPr>
          <w:color w:val="C00000"/>
        </w:rPr>
        <w:t xml:space="preserve"/>
      </w:r>
    </w:p>
    <w:p w14:paraId="2E0C77A7" w14:textId="0577CB48" w:rsidR="00C3733B" w:rsidRPr="00C3733B" w:rsidRDefault="00000000" w:rsidP="00C3733B">
      <w:pPr>
        <w:pStyle w:val="PargrafodaLista"/>
        <w:numPr>
          <w:ilvl w:val="0"/>
          <w:numId w:val="1"/>
        </w:numPr>
        <w:spacing w:after="100" w:line="276" w:lineRule="auto"/>
        <w:jc w:val="both"/>
      </w:pPr>
      <w:r w:rsidRPr="00C3733B">
        <w:t>Contrapartida própria: R$ 1.278.446,20, equivalente a 5% do investimento total</w:t>
      </w:r>
      <w:r w:rsidR="00C3733B" w:rsidRPr="00C3733B">
        <w:t>.</w:t>
      </w:r>
      <w:r w:rsidR="00C3733B" w:rsidRPr="00C3733B">
        <w:br/>
      </w:r>
      <w:r w:rsidR="00C3733B">
        <w:rPr>
          <w:color w:val="EE0000"/>
        </w:rPr>
        <w:br/>
      </w:r>
      <w:r w:rsidR="00C3733B" w:rsidRPr="00C3733B">
        <w:rPr>
          <w:color w:val="C00000"/>
        </w:rPr>
        <w:t xml:space="preserve"/>
      </w:r>
      <w:r w:rsidR="00C3733B">
        <w:rPr>
          <w:color w:val="C00000"/>
        </w:rPr>
        <w:t/>
      </w:r>
      <w:r>
        <w:rPr>
          <w:color w:val="C00000"/>
        </w:rPr>
        <w:t xml:space="preserve"/>
      </w:r>
      <w:r w:rsidR="00C3733B">
        <w:rPr>
          <w:color w:val="C00000"/>
        </w:rPr>
        <w:t/>
      </w:r>
      <w:r>
        <w:rPr>
          <w:color w:val="C00000"/>
        </w:rPr>
        <w:t xml:space="preserve"/>
      </w:r>
      <w:r w:rsidR="00C3733B">
        <w:rPr>
          <w:color w:val="C00000"/>
        </w:rPr>
        <w:t xml:space="preserve"/>
      </w:r>
      <w:proofErr w:type="gramStart"/>
      <w:r w:rsidR="00C3733B">
        <w:rPr>
          <w:color w:val="C00000"/>
        </w:rPr>
        <w:t/>
      </w:r>
      <w:proofErr w:type="gramEnd"/>
      <w:r w:rsidR="00C3733B">
        <w:rPr>
          <w:color w:val="C00000"/>
        </w:rPr>
        <w:t xml:space="preserve"/>
      </w:r>
      <w:r>
        <w:rPr>
          <w:color w:val="C00000"/>
        </w:rPr>
        <w:t xml:space="preserve"/>
      </w:r>
      <w:r w:rsidR="00C3733B">
        <w:rPr>
          <w:color w:val="C00000"/>
        </w:rPr>
        <w:t/>
      </w:r>
      <w:r>
        <w:rPr>
          <w:color w:val="C00000"/>
        </w:rPr>
        <w:t/>
      </w:r>
      <w:r w:rsidR="00C3733B">
        <w:rPr>
          <w:color w:val="C00000"/>
        </w:rPr>
        <w:t xml:space="preserve"/>
      </w:r>
      <w:r w:rsidR="00C3733B" w:rsidRPr="00C3733B">
        <w:rPr>
          <w:color w:val="C00000"/>
        </w:rPr>
        <w:t xml:space="preserve"/>
      </w:r>
      <w:r w:rsidR="00C3733B" w:rsidRPr="00C3733B">
        <w:rPr>
          <w:color w:val="C00000"/>
        </w:rPr>
        <w:lastRenderedPageBreak/>
        <w:t/>
      </w:r>
      <w:proofErr w:type="gramStart"/>
      <w:r w:rsidR="00C3733B" w:rsidRPr="00C3733B">
        <w:rPr>
          <w:color w:val="C00000"/>
        </w:rPr>
        <w:t/>
      </w:r>
      <w:proofErr w:type="gramEnd"/>
      <w:r w:rsidR="00C3733B" w:rsidRPr="00C3733B">
        <w:rPr>
          <w:color w:val="C00000"/>
        </w:rPr>
        <w:t xml:space="preserve"/>
      </w:r>
      <w:r w:rsidR="00C3733B">
        <w:rPr>
          <w:color w:val="C00000"/>
        </w:rPr>
        <w:t/>
      </w:r>
      <w:r w:rsidR="00C3733B" w:rsidRPr="00C3733B">
        <w:rPr>
          <w:color w:val="C00000"/>
        </w:rPr>
        <w:t xml:space="preserve"/>
      </w:r>
    </w:p>
    <w:p w14:paraId="3AE6E5FD" w14:textId="77777777" w:rsidR="00C3733B" w:rsidRPr="00C3733B" w:rsidRDefault="00C3733B" w:rsidP="00C3733B">
      <w:pPr>
        <w:pStyle w:val="PargrafodaLista"/>
        <w:numPr>
          <w:ilvl w:val="0"/>
          <w:numId w:val="1"/>
        </w:numPr>
        <w:spacing w:after="100" w:line="276" w:lineRule="auto"/>
        <w:jc w:val="both"/>
      </w:pPr>
    </w:p>
    <w:p w14:paraId="3321F7D0" w14:textId="2F5715AA" w:rsidR="00326C65" w:rsidRDefault="00000000" w:rsidP="00C3733B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 xml:space="preserve"/>
      </w:r>
      <w:r>
        <w:rPr>
          <w:color w:val="C00000"/>
        </w:rPr>
        <w:t xml:space="preserve">A estrutura proposta observa integralmente os critérios da Programação FNE vigente: São Mateus/ES é município de média renda (tipologia PNDR — Anexo D do Decreto 11.962/2024), integrante dos espaços prioritários da Programação. Pela receita operacional anual estabilizada projetada de R$ 17,45 milhões, a empresa enquadra-se no porte Médio I, sendo o empreendimento financiável em até 95% do investimento, mediante contrapartida mínima de 5% de recursos próprios.</w:t>
      </w:r>
      <w:r>
        <w:rPr>
          <w:b/>
          <w:bCs/>
          <w:color w:val="C00000"/>
        </w:rPr>
        <w:t/>
      </w:r>
      <w:r>
        <w:rPr>
          <w:color w:val="C00000"/>
        </w:rPr>
        <w:t/>
      </w:r>
    </w:p>
    <w:p w14:paraId="392CC772" w14:textId="77777777" w:rsidR="00326C65" w:rsidRDefault="00000000">
      <w:pPr>
        <w:spacing w:after="160" w:line="276" w:lineRule="auto"/>
        <w:jc w:val="both"/>
      </w:pPr>
      <w:r w:rsidRPr="00C3733B">
        <w:rPr>
          <w:color w:val="C00000"/>
          <w:highlight w:val="yellow"/>
        </w:rPr>
        <w:t>Pleiteia-se prazo total de 14 anos, sendo 2 anos de carência e 12 de amortização,</w:t>
      </w:r>
      <w:r>
        <w:rPr>
          <w:color w:val="C00000"/>
        </w:rPr>
        <w:t xml:space="preserve"> com enquadramento na condição de prazo do FNE para empresas administradas por mulher (principal dirigente: Rebeca Colombi Taylor).</w:t>
      </w:r>
    </w:p>
    <w:p w14:paraId="05EC34F0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 xml:space="preserve">Ressalta-se que os sócios já realizaram, com recursos próprios, os investimentos preparatórios: </w:t>
      </w:r>
      <w:r w:rsidRPr="00C3733B">
        <w:rPr>
          <w:color w:val="C00000"/>
          <w:highlight w:val="yellow"/>
        </w:rPr>
        <w:t>aquisição do terreno de apoio (2019),</w:t>
      </w:r>
      <w:r>
        <w:rPr>
          <w:color w:val="C00000"/>
        </w:rPr>
        <w:t xml:space="preserve"> contratação da servidão minerária da área de lavra e obtenção do Registro de Licença ANM e das licenças ambientais (LP e LI) — comprometimento financeiro efetivo que reduz os riscos da fase de implantação.</w:t>
      </w:r>
    </w:p>
    <w:p w14:paraId="51B78A77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Estima-se a geração de cerca de 30 empregos diretos na operação, além dos empregos temporários da implantação.</w:t>
      </w:r>
    </w:p>
    <w:p w14:paraId="0947E8AD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 xml:space="preserve">Como garantia principal será apresentada alienação fiduciária de imóveis, com cobertura mínima de 110% do valor financiado, </w:t>
      </w:r>
      <w:r>
        <w:rPr>
          <w:color w:val="C00000"/>
        </w:rPr>
        <w:t xml:space="preserve">complementada por aval dos sócios (seção 7).</w:t>
      </w:r>
    </w:p>
    <w:p w14:paraId="26B5E87A" w14:textId="77777777" w:rsidR="00326C65" w:rsidRDefault="00000000">
      <w:pPr>
        <w:spacing w:after="160" w:line="276" w:lineRule="auto"/>
        <w:jc w:val="both"/>
      </w:pPr>
      <w:r>
        <w:t xml:space="preserve">A operação enquadra-se na linha FNE Industrial (extração e britamento de pedras — CNAE 08.10-0/99). </w:t>
      </w:r>
      <w:r w:rsidRPr="00C3733B">
        <w:rPr>
          <w:color w:val="C00000"/>
          <w:highlight w:val="yellow"/>
        </w:rPr>
        <w:t>A viabilidade mercadológica é objeto do Estudo de Mercado anexo, resumido na seção 3.</w:t>
      </w:r>
    </w:p>
    <w:p w14:paraId="2BA44991" w14:textId="77777777" w:rsidR="00326C65" w:rsidRDefault="00000000">
      <w:pPr>
        <w:spacing w:before="320" w:after="200"/>
      </w:pPr>
      <w:r>
        <w:rPr>
          <w:b/>
          <w:bCs/>
          <w:color w:val="C00000"/>
          <w:sz w:val="26"/>
          <w:szCs w:val="26"/>
        </w:rPr>
        <w:t>3. JUSTIFICATIVA DO EMPREENDIMENTO</w:t>
      </w:r>
    </w:p>
    <w:p w14:paraId="58A710D2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 xml:space="preserve">Os fundamentos mercadológicos do empreendimento estão detalhados no Estudo de Mercado anexo (Projet Consultoria, jun/2026), cujos principais resultados — atualizados em agosto/2026 — são resumidos a seguir.</w:t>
      </w:r>
      <w:r w:rsidRPr="00C3733B">
        <w:rPr>
          <w:color w:val="C00000"/>
          <w:highlight w:val="yellow"/>
        </w:rPr>
        <w:t xml:space="preserve"/>
      </w:r>
      <w:proofErr w:type="spellStart"/>
      <w:r w:rsidRPr="00C3733B">
        <w:rPr>
          <w:color w:val="C00000"/>
          <w:highlight w:val="yellow"/>
        </w:rPr>
        <w:t/>
      </w:r>
      <w:proofErr w:type="spellEnd"/>
      <w:r w:rsidRPr="00C3733B">
        <w:rPr>
          <w:color w:val="C00000"/>
          <w:highlight w:val="yellow"/>
        </w:rPr>
        <w:t/>
      </w:r>
    </w:p>
    <w:p w14:paraId="1C3D3DA1" w14:textId="77777777" w:rsidR="00326C65" w:rsidRDefault="00000000">
      <w:pPr>
        <w:spacing w:after="160" w:line="276" w:lineRule="auto"/>
        <w:jc w:val="both"/>
      </w:pPr>
      <w:proofErr w:type="spellStart"/>
      <w:proofErr w:type="spellEnd"/>
      <w:r>
        <w:rPr>
          <w:b w:val="0"/>
        </w:rPr>
        <w:t>São Mateus é o município mais populoso do norte do Espírito Santo (134,4 mil habitantes — IBGE, estimativa 2025; 8º do Estado) e polo regional de comércio e serviços. O mercado-base do empreendimento — definido pelo raio econômico do frete e pela posição real dos concorrentes, conforme o Estudo de Mercado anexo — restringe-se aos municípios que satisfazem dois critérios cumulativos: ausência de produtor de brita instalado e posição dentro do raio econômico do frete. São eles São Mateus, Conceição da Barra e Boa Esperança (177.400 habitantes — IBGE, estimativas 2025). A demanda corrente nesse mercado-base é estimada em cerca de 296 mil t/ano, pelo consumo efetivo de brita no Espírito Santo apurado nas vendas declaradas à ANM (RAL, dado 2025): 6.888.010,58 t ÷ 4.126.854 hab = 1,669 t/hab/ano — índice convergente com o parâmetro setorial da ANEPAC —, aplicado diretamente à população de 2025 da área; por prudência, aplicar metade do índice a Conceição da Barra e a Boa Esperança ainda resulta em ~260 mil t/ano, acima do platô do projeto. A praça vizinha de Jaguaré (31,6 mil habitantes; 26–53 mil t/ano) foi mantida fora da linha de base por ter um pequeno produtor instalado, e permanece, com Pedro Canário e a franja norte do Estado (Montanha, Mucurici e Ponto Belo, ~53 mil habitantes sem nenhum produtor de brita instalado), como potencial adicional de captura, não contado nas projeções.</w:t>
      </w:r>
    </w:p>
    <w:p w14:paraId="74720E32" w14:textId="77777777" w:rsidR="00326C65" w:rsidRDefault="00000000">
      <w:pPr>
        <w:spacing w:after="160" w:line="276" w:lineRule="auto"/>
        <w:jc w:val="both"/>
      </w:pPr>
      <w:r>
        <w:t>A oferta instalada confirma a lacuna: não há nenhum produtor de brita no mercado-base — em São Mateus, a presença concorrente limita-se a um pátio de beneficiamento e distribuição de pedreira sediada em Pinheiros (66,8 km), e a operação mais próxima, de pequena escala (~5 mil t em 2025 pela base de arrecadação da CFEM — ANM, granito/ES), fica em Jaguaré, a 57,1 km da sede, fora do mercado-base. Cabe distinguir duas funções que os documentos anteriores tratavam como uma só: essa operação de Jaguaré é o produtor mais próximo de São Mateus e serve de referência de preço na praça, mas nem nisso alcança a CIPREM — chega à sede de 57,1 km contra 40,7 km, R$ 14,9 por tonelada atrás no frete — e vendeu menos de um quinto da demanda do próprio município onde se instala, sem escala para disputar volume. Quem limita volume são os produtores de porte: a pedreira de Pinheiros, a 66,8 km, contra a qual a vantagem de frete da CIPREM é de R$ 23,8 por tonelada, e a de Nova Venécia, a 75,5 km, contra a qual chega a R$ 31,7 — da ordem de um quarto a um terço do preço posto na obra. O maior produtor da região opera a ~100 km (unidade em Rio Bananal, ~360 mil t/ano), com parte do suprimento vindo do eixo Linhares–Aracruz (85–140 km). A jazida da CIPREM está a 40,7 km da sede de São Mateus — distância medida em roteirizador a partir da coordenada do empreendimento registrada no PAE —, dentro do próprio município: em um produto cujo preço posto na obra é dominado pelo frete, é vantagem competitiva estrutural no maior polo de demanda da região — a operação substitui suprimento de longa distância por produção local.</w:t>
      </w:r>
    </w:p>
    <w:p w14:paraId="569783A8" w14:textId="77777777" w:rsidR="00326C65" w:rsidRDefault="00000000">
      <w:pPr>
        <w:spacing w:after="160" w:line="276" w:lineRule="auto"/>
        <w:jc w:val="both"/>
      </w:pPr>
      <w:r w:rsidRPr="00C3733B">
        <w:rPr>
          <w:highlight w:val="green"/>
          <w:color w:val="C00000"/>
        </w:rPr>
        <w:t>O município vive um ciclo de investimentos públicos sem precedente na sua série histórica — da ordem de R$ 950 milhões em obras já em execução ou contratação, dentro de um programa que o Governo do Estado anuncia em ~R$ 1 bilhão só para Guriri, em três fases: a macrodrenagem e pavimentação do balneário — Bacia 2 em obra (R$ 306,5 milhões, conclusão prevista para 2028), Bacia 1 com edital publicado em março/2026 (R$ 321,8 milhões, 13,5 km de galerias e ~125 mil m² de pavimentação) e Bacia 3 a licitar —, o Contorno de São Mateus/ES-318 em execução (R$ 190,2 milhões, 24,6 km e três pontes), a duplicação da ES-315 e a antecipação, pela concessionária Ecovias Capixaba, das terceiras faixas da BR-101 no trecho norte (21,6 km atravessando São Mateus, com início previsto para setembro/2026 e entregas até dezembro/2027, de 41 km planejados). Essas frentes adicionam 70–100 mil t/ano de demanda de brita durante a janela de obras — e destravam um potencial estrutural maior: a malha planejada de Guriri (11 avenidas e 31 ruas ao longo de ~8 km) permanece majoritariamente sem pavimentação definitiva, e sua pavimentação completa, viabilizada justamente pela macrodrenagem em curso, foi levantada sobre as plantas dos 21 loteamentos e auditada em 637 pontos verificados um a um em campo virtual (517 em Street View e 120 em satélite), todos listados individualmente com coordenada e data de imagem: 193,4 km em 437 vias, das quais apenas 26,6% pavimentadas. Faltam 1.216.547 m² de pista — área pela caixa de via de cada planta — e 554.203 m² de calçada — 874–1.144 mil t de agregados, dos quais 751–951 mil t de produtos de britagem, pela banda composicional das tabelas oficiais DER-ES/SINAPI (memória anexa; 704–892 mil t pelo piso de largura declarado) —, espalhados por cerca de uma década pela própria lógica construtiva (pavimenta-se depois de drenar, bacia a bacia; a Bacia 1 corre por 1.620 dias), das quais as projeções contabilizam, conservadoramente, apenas 78–117 mil t de produtos de britagem, cerca de um décimo do potencial medido — e as Bacias 1 e 2 cobrem só 20,5% da pista que falta, restando 43 anos de pavimentação ao ritmo contratual do Estado (21 anos com duas bacias simultâneas), contra os 14 anos do financiamento. As frentes demandam todo o portfólio do projeto: concreto estrutural (Britas 0 e 1) nas galerias e pontes, base e sub-base granular (BGS) nas rodovias, CBUQ (pedrisco) e assentamento de pavimento intertravado (pó de pedra) — padrão construtivo predominante na região.</w:t>
      </w:r>
      <w:r w:rsidRPr="00C3733B">
        <w:rPr>
          <w:color w:val="C00000"/>
          <w:highlight w:val="green"/>
        </w:rPr>
        <w:lastRenderedPageBreak/>
        <w:t/>
      </w:r>
    </w:p>
    <w:p w14:paraId="0DA2A8AA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No setor privado, operam na praça centrais de concreto de grupos consolidados (Polimix e Pedramix), consumidoras contínuas de brita e areia industrial. O escoamento das frações finas — historicamente as de venda mais difícil em pedreiras entrantes — apoia-se no padrão construtivo predominante da região, o pavimento intertravado, que consome pó de pedra no assentamento e na fabricação dos blocos, e nas rotas técnicas de recomposição em brita graduada simples e de areia de brita; a fabricação própria de artefatos (CNAE 23.30-3/02, presente no objeto social) é opção futura, não contemplada neste projeto. A Prefeitura — receita realizada de R$ 696,7 milhões em 2024 e nota máxima de capacidade de pagamento (CAPAG “A”) pelo Tesouro Nacional — é compradora direta para pavimentação em blocos, meios-fios e drenagem.</w:t>
      </w:r>
      <w:proofErr w:type="spellStart"/>
      <w:r>
        <w:rPr>
          <w:color w:val="C00000"/>
        </w:rPr>
        <w:t/>
      </w:r>
      <w:proofErr w:type="spellEnd"/>
      <w:r>
        <w:rPr>
          <w:color w:val="C00000"/>
        </w:rPr>
        <w:t xml:space="preserve"/>
      </w:r>
      <w:proofErr w:type="spellStart"/>
      <w:r>
        <w:rPr>
          <w:color w:val="C00000"/>
        </w:rPr>
        <w:t/>
      </w:r>
      <w:proofErr w:type="spellEnd"/>
      <w:r>
        <w:rPr>
          <w:color w:val="C00000"/>
        </w:rPr>
        <w:t xml:space="preserve"/>
      </w:r>
      <w:r w:rsidRPr="00C3733B">
        <w:rPr>
          <w:color w:val="C00000"/>
          <w:highlight w:val="yellow"/>
        </w:rPr>
        <w:t xml:space="preserve"/>
      </w:r>
      <w:proofErr w:type="spellStart"/>
      <w:r w:rsidRPr="00C3733B">
        <w:rPr>
          <w:color w:val="C00000"/>
          <w:highlight w:val="yellow"/>
        </w:rPr>
        <w:t/>
      </w:r>
      <w:proofErr w:type="spellEnd"/>
      <w:r w:rsidRPr="00C3733B">
        <w:rPr>
          <w:color w:val="C00000"/>
          <w:highlight w:val="yellow"/>
        </w:rPr>
        <w:t xml:space="preserve"/>
      </w:r>
      <w:proofErr w:type="spellStart"/>
      <w:r w:rsidRPr="00C3733B">
        <w:rPr>
          <w:color w:val="C00000"/>
          <w:highlight w:val="yellow"/>
        </w:rPr>
        <w:t/>
      </w:r>
      <w:proofErr w:type="spellEnd"/>
      <w:r w:rsidRPr="00C3733B">
        <w:rPr>
          <w:color w:val="C00000"/>
          <w:highlight w:val="yellow"/>
        </w:rPr>
        <w:t xml:space="preserve"/>
      </w:r>
      <w:r>
        <w:rPr>
          <w:color w:val="C00000"/>
        </w:rPr>
        <w:t xml:space="preserve"/>
      </w:r>
      <w:r w:rsidRPr="00C3733B">
        <w:rPr>
          <w:color w:val="C00000"/>
          <w:highlight w:val="yellow"/>
        </w:rPr>
        <w:t/>
      </w:r>
    </w:p>
    <w:p w14:paraId="342D3310" w14:textId="77777777" w:rsidR="00326C65" w:rsidRDefault="00000000">
      <w:pPr>
        <w:spacing w:after="160" w:line="276" w:lineRule="auto"/>
        <w:jc w:val="both"/>
      </w:pPr>
      <w:r w:rsidRPr="00C3733B">
        <w:rPr>
          <w:highlight w:val="yellow"/>
          <w:color w:val="C00000"/>
        </w:rPr>
        <w:t xml:space="preserve">Há ainda potencial adicional não contabilizado nas projeções: o Terminal Portuário de Urussuquara (Petrocity), em fase avançada de licenciamento no IBAMA — EIA/Rima com audiência pública em 2023 e documentação complementar para a Licença Prévia entregue em janeiro/2025 —, demandaria enrocamento e concreto em volume de outra ordem de grandeza caso as obras se confirmem.</w:t>
      </w:r>
      <w:proofErr w:type="spellStart"/>
      <w:r w:rsidRPr="00C3733B">
        <w:rPr>
          <w:color w:val="C00000"/>
          <w:highlight w:val="yellow"/>
        </w:rPr>
        <w:t/>
      </w:r>
      <w:proofErr w:type="spellEnd"/>
      <w:r w:rsidRPr="00C3733B">
        <w:rPr>
          <w:color w:val="C00000"/>
          <w:highlight w:val="yellow"/>
        </w:rPr>
        <w:t xml:space="preserve"/>
      </w:r>
      <w:proofErr w:type="spellStart"/>
      <w:r w:rsidRPr="00C3733B">
        <w:rPr>
          <w:color w:val="C00000"/>
          <w:highlight w:val="yellow"/>
        </w:rPr>
        <w:t/>
      </w:r>
      <w:proofErr w:type="spellEnd"/>
      <w:r w:rsidRPr="00C3733B">
        <w:rPr>
          <w:color w:val="C00000"/>
          <w:highlight w:val="yellow"/>
        </w:rPr>
        <w:t/>
      </w:r>
    </w:p>
    <w:p>
      <w:pPr>
        <w:spacing w:after="160"/>
        <w:jc w:val="both"/>
      </w:pPr>
      <w:r>
        <w:rPr>
          <w:b w:val="0"/>
        </w:rPr>
        <w:t>Em síntese: sob a definição adotada de mercado — os três municípios sem produtor instalado e dentro do raio econômico do frete —, a demanda corrente de cerca de 296 mil t/ano (piso prudente: 260 mil) já supera o platô do projeto. A leitura correta da participação, porém, não é contra essa linha de base e sim contra o mercado efetivamente endereçável, que soma às três praças-base a praça disputada de Jaguaré (26–53 mil t/ano), as praças alcançáveis por entrega própria em Nova Venécia e Pinheiros (64–129 mil t/ano) e as obras públicas catalogadas (70–100 mil t/ano): 421 a 577 mil t/ano. Contra essa base, o platô de 237.516 t/ano representa 41 a 56% — participação compatível com um entrante que é o único produtor instalado no seu mercado-base. Pela via de baixo para cima, aplicando pesos de penetração praça a praça — 65% em São Mateus, 25% em Conceição da Barra, 15% em Boa Esperança, 20% em Jaguaré, 10% nas praças-sede de concorrente e 60% nas obras públicas —, a captura resulta em 207 a 245 mil t/ano, faixa na qual o platô se posiciona a 81%. Registre-se com clareza a condição dessa conta: a sede sozinha não sustenta o platô, e a diferença vem das praças vizinhas, onde a CIPREM entra entregando com frota própria — programa já orçado no investimento (dois conjuntos de carreta) e praticado pela unidade do grupo na Bahia, que converte R$ 74/t na porteira em R$ 116/t médios realizados. Um mercado estruturalmente deficitário — sem nenhum produtor instalado na base, com o grosso do suprimento viajando de 66,8 a 140 km — completa um quadro de baixo risco de demanda para o financiamento pleiteado.</w:t>
      </w:r>
    </w:p>
    <w:p w14:paraId="450CB438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O empreendimento situa-se na área de atuação da SUDENE, beneficiando-se dos instrumentos de fomento do FNE, e está alinhado às diretrizes da Política Nacional de Desenvolvimento Regional: substitui suprimento de longa distância por produção local, reduz custo de construção na região, gera emprego e renda no interior do Espírito Santo e fortalece a infraestrutura para os investimentos públicos e privados do norte capixaba.</w:t>
      </w:r>
    </w:p>
    <w:p w14:paraId="136AA628" w14:textId="77777777" w:rsidR="00326C65" w:rsidRDefault="00000000">
      <w:pPr>
        <w:spacing w:before="320" w:after="200"/>
      </w:pPr>
      <w:r>
        <w:rPr>
          <w:b/>
          <w:bCs/>
          <w:color w:val="C00000"/>
          <w:sz w:val="26"/>
          <w:szCs w:val="26"/>
        </w:rPr>
        <w:t>4. A EMPRESA</w:t>
      </w:r>
    </w:p>
    <w:p w14:paraId="7D750FE3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 xml:space="preserve">A CIPREM – Cimento e </w:t>
      </w:r>
      <w:proofErr w:type="spellStart"/>
      <w:r>
        <w:rPr>
          <w:color w:val="C00000"/>
        </w:rPr>
        <w:t>Premoldados</w:t>
      </w:r>
      <w:proofErr w:type="spellEnd"/>
      <w:r>
        <w:rPr>
          <w:color w:val="C00000"/>
        </w:rPr>
        <w:t xml:space="preserve"> Ltda foi constituída em 09/10/2002, sob a forma de Sociedade Empresária Limitada, com sede na Rodovia Miguel Curry Carneiro, distrito de Nestor Gomes, São Mateus/ES, tendo por objeto a extração e britamento de pedras (CNAE 08.10-0/99) e a fabricação de artefatos de cimento (CNAE 23.30-3/02).</w:t>
      </w:r>
    </w:p>
    <w:p w14:paraId="0EEF82FC" w14:textId="7105CD4B" w:rsidR="00326C65" w:rsidRDefault="00000000">
      <w:pPr>
        <w:spacing w:after="160" w:line="276" w:lineRule="auto"/>
        <w:jc w:val="both"/>
      </w:pPr>
      <w:r>
        <w:t xml:space="preserve">Trata-se de empresa em fase de implantação do empreendimento objeto desta proposta, razão pela qual não possui faturamento operacional recorrente. </w:t>
      </w:r>
      <w:r>
        <w:rPr>
          <w:color w:val="C00000"/>
        </w:rPr>
        <w:t>Para fins de enquadramento da operação, considera-se a receita operacional anual estabilizada projetada de R$ 17,45 milhões</w:t>
      </w:r>
      <w:r w:rsidR="00C3733B">
        <w:rPr>
          <w:color w:val="C00000"/>
        </w:rPr>
        <w:t>.</w:t>
      </w:r>
    </w:p>
    <w:p w14:paraId="1580B945" w14:textId="77777777" w:rsidR="00326C65" w:rsidRDefault="00000000">
      <w:pPr>
        <w:spacing w:after="160" w:line="276" w:lineRule="auto"/>
        <w:jc w:val="both"/>
      </w:pPr>
      <w:r>
        <w:t>Conforme demonstrações de 2025 (ECD/SPED, Livro nº 14): Ativo de R$ 1.039.421,52; Patrimônio Líquido de R$ 1.039.421,52, sustentado por AFAC dos sócios de R$ 1.104.536,16 (empresa pré-operacional, sem BP/DRE de 2023/2024). O capital social integralizado é de R$ 193.780,00, distribuído igualmente entre os sócios:</w:t>
      </w:r>
    </w:p>
    <w:p w14:paraId="065036A1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t xml:space="preserve">Rebeca Colombi Taylor — 25,0% </w:t>
      </w:r>
      <w:r>
        <w:rPr>
          <w:color w:val="C00000"/>
        </w:rPr>
        <w:t>[CPF A PREENCHER]</w:t>
      </w:r>
    </w:p>
    <w:p w14:paraId="4E4C788F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t xml:space="preserve">Sarita Colombi </w:t>
      </w:r>
      <w:proofErr w:type="spellStart"/>
      <w:r>
        <w:t>Morelato</w:t>
      </w:r>
      <w:proofErr w:type="spellEnd"/>
      <w:r>
        <w:t xml:space="preserve"> — 25,0% </w:t>
      </w:r>
      <w:r>
        <w:rPr>
          <w:color w:val="C00000"/>
        </w:rPr>
        <w:t>[CPF A PREENCHER]</w:t>
      </w:r>
    </w:p>
    <w:p w14:paraId="66B9D705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t xml:space="preserve">Hugo Bassetti Colombi — 25,0% </w:t>
      </w:r>
      <w:r>
        <w:rPr>
          <w:color w:val="C00000"/>
        </w:rPr>
        <w:t>[CPF A PREENCHER]</w:t>
      </w:r>
    </w:p>
    <w:p w14:paraId="027AC931" w14:textId="77777777" w:rsidR="00326C65" w:rsidRPr="00C3733B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  <w:rPr>
          <w:lang w:val="en-US"/>
        </w:rPr>
      </w:pPr>
      <w:r w:rsidRPr="00C3733B">
        <w:rPr>
          <w:lang w:val="en-US"/>
        </w:rPr>
        <w:t xml:space="preserve">Ramon Filipe Colombi — 25,0% </w:t>
      </w:r>
      <w:r w:rsidRPr="00C3733B">
        <w:rPr>
          <w:color w:val="C00000"/>
          <w:lang w:val="en-US"/>
        </w:rPr>
        <w:t>[CPF A PREENCHER]</w:t>
      </w:r>
    </w:p>
    <w:p w14:paraId="3B84FF45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A empresa é titular da conta corrente nº [</w:t>
      </w:r>
      <w:r>
        <w:rPr>
          <w:b/>
          <w:bCs/>
          <w:color w:val="C00000"/>
        </w:rPr>
        <w:t>A PREENCHER</w:t>
      </w:r>
      <w:r>
        <w:rPr>
          <w:color w:val="C00000"/>
        </w:rPr>
        <w:t>] junto ao Banco do Nordeste, agência de São Mateus/ES.</w:t>
      </w:r>
    </w:p>
    <w:p w14:paraId="7841C2D2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 xml:space="preserve">Quanto à regularidade da ocupação do imóvel do empreendimento: a área de lavra é utilizada mediante contrato de servidão minerária firmado em 2019 com o proprietário (família </w:t>
      </w:r>
      <w:proofErr w:type="spellStart"/>
      <w:r>
        <w:rPr>
          <w:color w:val="C00000"/>
        </w:rPr>
        <w:t>Caffeu</w:t>
      </w:r>
      <w:proofErr w:type="spellEnd"/>
      <w:r>
        <w:rPr>
          <w:color w:val="C00000"/>
        </w:rPr>
        <w:t xml:space="preserve">), </w:t>
      </w:r>
      <w:r w:rsidRPr="00C3733B">
        <w:rPr>
          <w:color w:val="C00000"/>
          <w:highlight w:val="green"/>
        </w:rPr>
        <w:t>e o terreno de apoio (96.800 m², matrícula nº 8.933 do CRI local) é de propriedade da empresa,</w:t>
      </w:r>
      <w:r>
        <w:rPr>
          <w:color w:val="C00000"/>
        </w:rPr>
        <w:t xml:space="preserve"> </w:t>
      </w:r>
      <w:r w:rsidRPr="00C3733B">
        <w:rPr>
          <w:color w:val="C00000"/>
          <w:highlight w:val="green"/>
        </w:rPr>
        <w:lastRenderedPageBreak/>
        <w:t>adquirido em 2019 — não tendo sido identificadas restrições quanto à posse ou utilização das áreas.</w:t>
      </w:r>
    </w:p>
    <w:p w14:paraId="0DDBF172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Registra-se, ainda, que os sócios e avalistas da operação não possuem vínculo de parentesco com empregados do Banco do Nordeste participantes do processo decisório, inexistindo conflito de interesses sob esse aspecto.</w:t>
      </w:r>
    </w:p>
    <w:p w14:paraId="49CA5F55" w14:textId="77777777" w:rsidR="00326C65" w:rsidRDefault="00000000">
      <w:pPr>
        <w:spacing w:before="320" w:after="200"/>
      </w:pPr>
      <w:r>
        <w:rPr>
          <w:b/>
          <w:bCs/>
          <w:color w:val="C00000"/>
          <w:sz w:val="26"/>
          <w:szCs w:val="26"/>
        </w:rPr>
        <w:t>5. GRUPO ECONÔMICO</w:t>
      </w:r>
    </w:p>
    <w:p w14:paraId="73B80D34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A proponente integra o grupo empresarial da família Colombi (autodenominado "Grupo SV") [</w:t>
      </w:r>
      <w:r>
        <w:rPr>
          <w:b/>
          <w:bCs/>
          <w:color w:val="C00000"/>
        </w:rPr>
        <w:t>Nº DO GRUPO NO CADASTRO BNB — A PREENCHER</w:t>
      </w:r>
      <w:r>
        <w:rPr>
          <w:color w:val="C00000"/>
        </w:rPr>
        <w:t xml:space="preserve">], composto pelas seguintes pessoas jurídicas ativas, conforme registros públicos da Receita Federal (consulta em </w:t>
      </w:r>
      <w:proofErr w:type="spellStart"/>
      <w:r>
        <w:rPr>
          <w:color w:val="C00000"/>
        </w:rPr>
        <w:t>ago</w:t>
      </w:r>
      <w:proofErr w:type="spellEnd"/>
      <w:r>
        <w:rPr>
          <w:color w:val="C00000"/>
        </w:rPr>
        <w:t>/2026):</w:t>
      </w:r>
    </w:p>
    <w:p w14:paraId="76DF6F1C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Mineração São Vicente Ltda (CNPJ 06.537.334/0001-85, 2004) — extração e britagem; matriz em Itagimirim/BA e 6 estabelecimentos, incluindo a Pedreira Vale Verde em Porto Seguro/BA e filial em Salto da Divisa/MG (2025);</w:t>
      </w:r>
    </w:p>
    <w:p w14:paraId="74B682AD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 xml:space="preserve">Concreto </w:t>
      </w:r>
      <w:proofErr w:type="spellStart"/>
      <w:r>
        <w:rPr>
          <w:color w:val="C00000"/>
        </w:rPr>
        <w:t>Britaki</w:t>
      </w:r>
      <w:proofErr w:type="spellEnd"/>
      <w:r>
        <w:rPr>
          <w:color w:val="C00000"/>
        </w:rPr>
        <w:t xml:space="preserve"> Ltda (CNPJ 34.772.245/0001-59, 2019) — concreto usinado em 7 praças do litoral sul baiano; a Mineração São Vicente é sócia pessoa jurídica;</w:t>
      </w:r>
    </w:p>
    <w:p w14:paraId="18C00A48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proofErr w:type="spellStart"/>
      <w:r>
        <w:rPr>
          <w:color w:val="C00000"/>
        </w:rPr>
        <w:t>Superbritas</w:t>
      </w:r>
      <w:proofErr w:type="spellEnd"/>
      <w:r>
        <w:rPr>
          <w:color w:val="C00000"/>
        </w:rPr>
        <w:t xml:space="preserve"> Ltda (CNPJ 09.622.478/0001-28, 2008) — extração e britagem em Lauro de Freitas/BA (Região Metropolitana de Salvador), em área superior a 100 hectares;</w:t>
      </w:r>
    </w:p>
    <w:p w14:paraId="1A572122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 xml:space="preserve">Pedreira </w:t>
      </w:r>
      <w:proofErr w:type="spellStart"/>
      <w:r>
        <w:rPr>
          <w:color w:val="C00000"/>
        </w:rPr>
        <w:t>Topbritas</w:t>
      </w:r>
      <w:proofErr w:type="spellEnd"/>
      <w:r>
        <w:rPr>
          <w:color w:val="C00000"/>
        </w:rPr>
        <w:t xml:space="preserve"> Ltda (CNPJ 35.322.558/0001-78, 2019) — extração e britagem em Nazaré/BA; a Mineração São Vicente é sócia pessoa jurídica;</w:t>
      </w:r>
    </w:p>
    <w:p w14:paraId="1B9ED8F0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Via Nobre Construtora Ltda (CNPJ 32.205.185/0001-67, 2018) — construção de rodovias e ferrovias, Itagimirim/BA;</w:t>
      </w:r>
    </w:p>
    <w:p w14:paraId="37F542E2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CSC Serviços Ltda (CNPJ 41.887.581/0001-02, 2021) — centro de serviços compartilhados (apoio administrativo e manutenção), Eunápolis/BA.</w:t>
      </w:r>
    </w:p>
    <w:p w14:paraId="5713ADD2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Em síntese: cerca de 16 estabelecimentos em mais de 10 municípios de dois estados, capital social agregado superior a R$ 4 milhões, verticalização registrada em quadro societário e os mesmos quatro sócios-administradores em todas as empresas — os mesmos da CIPREM.</w:t>
      </w:r>
    </w:p>
    <w:p w14:paraId="29002356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Somatório dos Limites de Risco Global (LRG) do grupo: [</w:t>
      </w:r>
      <w:r>
        <w:rPr>
          <w:b/>
          <w:bCs/>
          <w:color w:val="C00000"/>
        </w:rPr>
        <w:t>A PREENCHER CONFORME CADASTRO CORPORATIVO DO BANCO</w:t>
      </w:r>
      <w:r>
        <w:rPr>
          <w:color w:val="C00000"/>
        </w:rPr>
        <w:t>].</w:t>
      </w:r>
    </w:p>
    <w:p w14:paraId="0558701D" w14:textId="77777777" w:rsidR="00326C65" w:rsidRDefault="00000000">
      <w:pPr>
        <w:spacing w:before="320" w:after="200"/>
      </w:pPr>
      <w:r>
        <w:rPr>
          <w:b/>
          <w:bCs/>
          <w:color w:val="C00000"/>
          <w:sz w:val="26"/>
          <w:szCs w:val="26"/>
        </w:rPr>
        <w:t>6. RELACIONAMENTO DO GRUPO COM O BNB</w:t>
      </w:r>
    </w:p>
    <w:p w14:paraId="2CD1C228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 xml:space="preserve">As empresas do grupo atuam majoritariamente na Bahia — área de atuação do FNE — e seu histórico de operações e relacionamento com o Banco do Nordeste deve ser consolidado conforme os registros do cadastro corporativo: </w:t>
      </w:r>
    </w:p>
    <w:p w14:paraId="06124629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Mineração São Vicente Ltda — cliente desde [DATA]; operações: [A PREENCHER]; saldo devedor: [A PREENCHER];</w:t>
      </w:r>
    </w:p>
    <w:p w14:paraId="061A4D44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 xml:space="preserve">Concreto </w:t>
      </w:r>
      <w:proofErr w:type="spellStart"/>
      <w:r>
        <w:rPr>
          <w:color w:val="C00000"/>
        </w:rPr>
        <w:t>Britaki</w:t>
      </w:r>
      <w:proofErr w:type="spellEnd"/>
      <w:r>
        <w:rPr>
          <w:color w:val="C00000"/>
        </w:rPr>
        <w:t xml:space="preserve"> Ltda — cliente desde [DATA]; operações: [A PREENCHER]; saldo devedor: [A PREENCHER];</w:t>
      </w:r>
    </w:p>
    <w:p w14:paraId="3A12F049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Demais empresas do grupo — [A PREENCHER].</w:t>
      </w:r>
    </w:p>
    <w:p w14:paraId="0398FE69" w14:textId="77777777" w:rsidR="00326C65" w:rsidRDefault="00000000">
      <w:pPr>
        <w:spacing w:before="320" w:after="200"/>
      </w:pPr>
      <w:r>
        <w:rPr>
          <w:b/>
          <w:bCs/>
          <w:color w:val="C00000"/>
          <w:sz w:val="26"/>
          <w:szCs w:val="26"/>
        </w:rPr>
        <w:t>7. GARANTIAS DA OPERAÇÃO</w:t>
      </w:r>
    </w:p>
    <w:p w14:paraId="1F64A61D" w14:textId="77777777" w:rsidR="00326C65" w:rsidRDefault="00000000">
      <w:pPr>
        <w:spacing w:before="120" w:after="120"/>
      </w:pPr>
      <w:r>
        <w:rPr>
          <w:b/>
          <w:bCs/>
          <w:color w:val="C00000"/>
        </w:rPr>
        <w:t>7.1 Garantia Principal</w:t>
      </w:r>
    </w:p>
    <w:p w14:paraId="73456134" w14:textId="77777777" w:rsidR="00326C65" w:rsidRDefault="00000000">
      <w:pPr>
        <w:spacing w:after="160" w:line="276" w:lineRule="auto"/>
        <w:jc w:val="both"/>
      </w:pPr>
      <w:r>
        <w:lastRenderedPageBreak/>
        <w:t>Alienação fiduciária de imóveis dos sócios e de empresas do grupo, no montante de R$ 26.719.525,67, correspondente a cobertura mínima de 110% do valor financiado. Relação de imóveis a detalhar no enquadramento.</w:t>
      </w:r>
    </w:p>
    <w:p w14:paraId="47AEEA59" w14:textId="77777777" w:rsidR="00326C65" w:rsidRDefault="00000000">
      <w:pPr>
        <w:spacing w:before="120" w:after="120"/>
      </w:pPr>
      <w:r>
        <w:rPr>
          <w:b/>
          <w:bCs/>
          <w:color w:val="C00000"/>
        </w:rPr>
        <w:t>7.2 Garantias Adicionais</w:t>
      </w:r>
    </w:p>
    <w:p w14:paraId="55F16920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t xml:space="preserve">Aval dos sócios Hugo Bassetti Colombi, Ramon Filipe Colombi, Sarita Colombi </w:t>
      </w:r>
      <w:proofErr w:type="spellStart"/>
      <w:r>
        <w:t>Morelato</w:t>
      </w:r>
      <w:proofErr w:type="spellEnd"/>
      <w:r>
        <w:t xml:space="preserve"> e Rebeca Colombi Taylor.</w:t>
      </w:r>
    </w:p>
    <w:p w14:paraId="295AC393" w14:textId="77777777" w:rsidR="00326C65" w:rsidRDefault="00000000">
      <w:pPr>
        <w:spacing w:after="160" w:line="276" w:lineRule="auto"/>
        <w:jc w:val="both"/>
      </w:pPr>
      <w:r>
        <w:t xml:space="preserve">O terreno da lavra é de terceiros (família </w:t>
      </w:r>
      <w:proofErr w:type="spellStart"/>
      <w:r>
        <w:t>Caffeu</w:t>
      </w:r>
      <w:proofErr w:type="spellEnd"/>
      <w:r>
        <w:t>), utilizado mediante contrato de servidão, e não integra o financiamento nem as garantias.</w:t>
      </w:r>
    </w:p>
    <w:p w14:paraId="1A0D94CE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[OPCIONAL — AVALIAR COM A AGÊNCIA: constituição de cessão fiduciária de conta reserva/Fundo de Liquidez proporcional às liberações, a exemplo de operações recentes da agência (padrão de 10% do saldo devedor).]</w:t>
      </w:r>
    </w:p>
    <w:p w14:paraId="1612515F" w14:textId="77777777" w:rsidR="00326C65" w:rsidRDefault="00000000">
      <w:pPr>
        <w:spacing w:before="320" w:after="200"/>
      </w:pPr>
      <w:r>
        <w:rPr>
          <w:b/>
          <w:bCs/>
          <w:color w:val="C00000"/>
          <w:sz w:val="26"/>
          <w:szCs w:val="26"/>
        </w:rPr>
        <w:t>8. TARIFA</w:t>
      </w:r>
    </w:p>
    <w:p w14:paraId="57C85545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Nos termos da regulamentação vigente, será devida Tarifa de Análise de Viabilidade Econômico-Financeira de 1,25% do valor financiado — R$ 303.630,97 sobre R$ 24.290.477,88 — [</w:t>
      </w:r>
      <w:r>
        <w:rPr>
          <w:b/>
          <w:bCs/>
          <w:color w:val="C00000"/>
        </w:rPr>
        <w:t>CONFERIR VALOR/ALÍQUOTA VIGENTE NA NORMA 3303-21-01, TABELA 1</w:t>
      </w:r>
      <w:r>
        <w:rPr>
          <w:color w:val="C00000"/>
        </w:rPr>
        <w:t>].</w:t>
      </w:r>
    </w:p>
    <w:p w14:paraId="3B7C14E7" w14:textId="77777777" w:rsidR="00326C65" w:rsidRDefault="00000000">
      <w:pPr>
        <w:spacing w:before="320" w:after="200"/>
      </w:pPr>
      <w:r>
        <w:rPr>
          <w:b/>
          <w:bCs/>
          <w:color w:val="C00000"/>
          <w:sz w:val="26"/>
          <w:szCs w:val="26"/>
        </w:rPr>
        <w:t>9. RELACIONAMENTO NEGOCIAL</w:t>
      </w:r>
    </w:p>
    <w:p w14:paraId="223ABDC8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[</w:t>
      </w:r>
      <w:r>
        <w:rPr>
          <w:b/>
          <w:bCs/>
          <w:color w:val="C00000"/>
        </w:rPr>
        <w:t>A PREENCHER</w:t>
      </w:r>
      <w:r>
        <w:rPr>
          <w:color w:val="C00000"/>
        </w:rPr>
        <w:t>: aplicações financeiras, seguros e demais produtos mantidos pelo grupo junto ao Banco.] Propõe-se, como reciprocidade, a centralização do domicílio bancário da operação, da movimentação financeira do empreendimento, da folha de pagamento e dos seguros no Banco do Nordeste.</w:t>
      </w:r>
    </w:p>
    <w:p w14:paraId="428F6FA8" w14:textId="77777777" w:rsidR="00326C65" w:rsidRDefault="00000000">
      <w:pPr>
        <w:spacing w:before="320" w:after="200"/>
      </w:pPr>
      <w:r>
        <w:rPr>
          <w:b/>
          <w:bCs/>
          <w:color w:val="C00000"/>
          <w:sz w:val="26"/>
          <w:szCs w:val="26"/>
        </w:rPr>
        <w:t>CONSIDERAÇÕES FINAIS</w:t>
      </w:r>
    </w:p>
    <w:p w14:paraId="13BB5D3F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Após análise dos aspectos cadastrais, econômico-financeiros, mercadológicos e das garantias propostas, submete-se a proposta à manifestação da agência, destacando os seguintes fundamentos:</w:t>
      </w:r>
    </w:p>
    <w:p w14:paraId="15F4EBDE" w14:textId="430C951B" w:rsidR="00326C65" w:rsidRPr="00C3733B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  <w:rPr>
          <w:highlight w:val="yellow"/>
        </w:rPr>
      </w:pPr>
      <w:r>
        <w:rPr>
          <w:color w:val="C00000"/>
        </w:rPr>
        <w:t xml:space="preserve">o empreendimento insere-se em região com demanda consistente por agregados e sem pedreira comercial estabelecida no município, com âncoras de demanda verificáveis </w:t>
      </w:r>
      <w:r w:rsidRPr="00C3733B">
        <w:rPr>
          <w:color w:val="C00000"/>
          <w:highlight w:val="yellow"/>
        </w:rPr>
        <w:t>(concreteiras instaladas, duplicação da BR-101/ES);</w:t>
      </w:r>
    </w:p>
    <w:p w14:paraId="70095D0A" w14:textId="1DE045C9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a proponente integra grupo empresarial com atividade idêntica em plena operação, reduzindo o risco de implantação e de gestão;</w:t>
      </w:r>
    </w:p>
    <w:p w14:paraId="32434E15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os sócios demonstram comprometimento prévio efetivo: terreno de apoio próprio, servidão contratada e licenças (ANM, LP e LI) obtidas com recursos próprios;</w:t>
      </w:r>
    </w:p>
    <w:p w14:paraId="5B17426F" w14:textId="4A4EBB58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 xml:space="preserve">a estrutura de garantias — alienação fiduciária de imóveis com cobertura mínima de 110%, </w:t>
      </w:r>
      <w:r w:rsidR="00C3733B">
        <w:rPr>
          <w:color w:val="C00000"/>
        </w:rPr>
        <w:t xml:space="preserve">e </w:t>
      </w:r>
      <w:r>
        <w:rPr>
          <w:color w:val="C00000"/>
        </w:rPr>
        <w:t>aval dos sócios — mostra-se adequada à mitigação dos riscos;</w:t>
      </w:r>
    </w:p>
    <w:p w14:paraId="265C8F1E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a operação amplia o relacionamento do grupo com o Banco e a reciprocidade negocial (domicílio, movimentação, seguros);</w:t>
      </w:r>
    </w:p>
    <w:p w14:paraId="47EB2FDD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o empreendimento alinha-se às diretrizes do FNE e da Política Nacional de Desenvolvimento Regional — geração de emprego e renda, fortalecimento de infraestrutura e desenvolvimento do interior da área de atuação da SUDENE;</w:t>
      </w:r>
    </w:p>
    <w:p w14:paraId="24981371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a principal dirigente é mulher, com pleito de enquadramento na condição de prazo correspondente da Programação FNE.</w:t>
      </w:r>
    </w:p>
    <w:p w14:paraId="792EADF0" w14:textId="77777777" w:rsidR="00326C65" w:rsidRDefault="00000000">
      <w:pPr>
        <w:spacing w:before="320" w:after="200"/>
      </w:pPr>
      <w:r>
        <w:rPr>
          <w:b/>
          <w:bCs/>
          <w:color w:val="C00000"/>
          <w:sz w:val="26"/>
          <w:szCs w:val="26"/>
        </w:rPr>
        <w:lastRenderedPageBreak/>
        <w:t>10. ENQUADRAMENTO NORMATIVO</w:t>
      </w:r>
    </w:p>
    <w:p w14:paraId="0ED3D2DE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A presente operação observa, entre outras, as disposições das seguintes normas internas [</w:t>
      </w:r>
      <w:r>
        <w:rPr>
          <w:b/>
          <w:bCs/>
          <w:color w:val="C00000"/>
        </w:rPr>
        <w:t>CONFERIR VIGÊNCIA/APLICABILIDADE</w:t>
      </w:r>
      <w:r>
        <w:rPr>
          <w:color w:val="C00000"/>
        </w:rPr>
        <w:t>]:</w:t>
      </w:r>
    </w:p>
    <w:p w14:paraId="6F4D39BB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3102-03-04 — Carta Consulta;</w:t>
      </w:r>
    </w:p>
    <w:p w14:paraId="00ACA5C9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3102-03-10 — Responsabilidade pela Operacionalização das Propostas de Crédito;</w:t>
      </w:r>
    </w:p>
    <w:p w14:paraId="7A60C43E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1101-04-13 — Programa de Crédito e Enquadramento;</w:t>
      </w:r>
    </w:p>
    <w:p w14:paraId="6D556F84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1101-11-08 — Parâmetros de Composição de Garantias;</w:t>
      </w:r>
    </w:p>
    <w:p w14:paraId="01A3FD0A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1101-12-03 — Alçada Decisória.</w:t>
      </w:r>
    </w:p>
    <w:p w14:paraId="0B2F1345" w14:textId="77777777" w:rsidR="00326C65" w:rsidRDefault="00000000">
      <w:pPr>
        <w:spacing w:before="480" w:after="240"/>
      </w:pPr>
      <w:r>
        <w:t xml:space="preserve">São Mateus/ES, ____ de ____________ </w:t>
      </w:r>
      <w:proofErr w:type="spellStart"/>
      <w:r>
        <w:t>de</w:t>
      </w:r>
      <w:proofErr w:type="spellEnd"/>
      <w:r>
        <w:t xml:space="preserve"> 2026.</w:t>
      </w:r>
    </w:p>
    <w:p w14:paraId="2802FF1B" w14:textId="77777777" w:rsidR="00326C65" w:rsidRDefault="00000000">
      <w:pPr>
        <w:spacing w:before="480" w:after="40"/>
        <w:jc w:val="center"/>
      </w:pPr>
      <w:r>
        <w:t>___________________________________</w:t>
      </w:r>
    </w:p>
    <w:p w14:paraId="16018744" w14:textId="77777777" w:rsidR="00326C65" w:rsidRDefault="00000000">
      <w:pPr>
        <w:spacing w:after="40"/>
        <w:jc w:val="center"/>
      </w:pPr>
      <w:r>
        <w:rPr>
          <w:b/>
          <w:bCs/>
          <w:color w:val="C00000"/>
        </w:rPr>
        <w:t>[NOME — MATRÍCULA]</w:t>
      </w:r>
    </w:p>
    <w:p w14:paraId="53AEEC5E" w14:textId="77777777" w:rsidR="00326C65" w:rsidRDefault="00000000">
      <w:pPr>
        <w:spacing w:after="240"/>
        <w:jc w:val="center"/>
      </w:pPr>
      <w:r>
        <w:t>Gerente de Relacionamento</w:t>
      </w:r>
    </w:p>
    <w:p w14:paraId="78AEBE3B" w14:textId="77777777" w:rsidR="00326C65" w:rsidRDefault="00000000">
      <w:pPr>
        <w:spacing w:before="240" w:after="40"/>
        <w:jc w:val="center"/>
      </w:pPr>
      <w:r>
        <w:t>___________________________________</w:t>
      </w:r>
    </w:p>
    <w:p w14:paraId="62C4CB20" w14:textId="77777777" w:rsidR="00326C65" w:rsidRDefault="00000000">
      <w:pPr>
        <w:spacing w:after="40"/>
        <w:jc w:val="center"/>
      </w:pPr>
      <w:r>
        <w:rPr>
          <w:b/>
          <w:bCs/>
          <w:color w:val="C00000"/>
        </w:rPr>
        <w:t>[NOME — MATRÍCULA]</w:t>
      </w:r>
    </w:p>
    <w:p w14:paraId="32B187D5" w14:textId="77777777" w:rsidR="00326C65" w:rsidRDefault="00000000">
      <w:pPr>
        <w:jc w:val="center"/>
      </w:pPr>
      <w:r>
        <w:t>Gerente de Agência</w:t>
      </w:r>
    </w:p>
    <w:sectPr w:rsidR="00326C65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7966C7"/>
    <w:multiLevelType w:val="hybridMultilevel"/>
    <w:tmpl w:val="4DFC42C8"/>
    <w:lvl w:ilvl="0" w:tplc="3EE43044">
      <w:start w:val="1"/>
      <w:numFmt w:val="bullet"/>
      <w:lvlText w:val="●"/>
      <w:lvlJc w:val="left"/>
      <w:pPr>
        <w:ind w:left="720" w:hanging="360"/>
      </w:pPr>
    </w:lvl>
    <w:lvl w:ilvl="1" w:tplc="0DEA2C9C">
      <w:start w:val="1"/>
      <w:numFmt w:val="bullet"/>
      <w:lvlText w:val="○"/>
      <w:lvlJc w:val="left"/>
      <w:pPr>
        <w:ind w:left="1440" w:hanging="360"/>
      </w:pPr>
    </w:lvl>
    <w:lvl w:ilvl="2" w:tplc="C7C42F0C">
      <w:start w:val="1"/>
      <w:numFmt w:val="bullet"/>
      <w:lvlText w:val="■"/>
      <w:lvlJc w:val="left"/>
      <w:pPr>
        <w:ind w:left="2160" w:hanging="360"/>
      </w:pPr>
    </w:lvl>
    <w:lvl w:ilvl="3" w:tplc="3552D154">
      <w:start w:val="1"/>
      <w:numFmt w:val="bullet"/>
      <w:lvlText w:val="●"/>
      <w:lvlJc w:val="left"/>
      <w:pPr>
        <w:ind w:left="2880" w:hanging="360"/>
      </w:pPr>
    </w:lvl>
    <w:lvl w:ilvl="4" w:tplc="23CCD3FC">
      <w:start w:val="1"/>
      <w:numFmt w:val="bullet"/>
      <w:lvlText w:val="○"/>
      <w:lvlJc w:val="left"/>
      <w:pPr>
        <w:ind w:left="3600" w:hanging="360"/>
      </w:pPr>
    </w:lvl>
    <w:lvl w:ilvl="5" w:tplc="FCF63028">
      <w:start w:val="1"/>
      <w:numFmt w:val="bullet"/>
      <w:lvlText w:val="■"/>
      <w:lvlJc w:val="left"/>
      <w:pPr>
        <w:ind w:left="4320" w:hanging="360"/>
      </w:pPr>
    </w:lvl>
    <w:lvl w:ilvl="6" w:tplc="B79A41EC">
      <w:start w:val="1"/>
      <w:numFmt w:val="bullet"/>
      <w:lvlText w:val="●"/>
      <w:lvlJc w:val="left"/>
      <w:pPr>
        <w:ind w:left="5040" w:hanging="360"/>
      </w:pPr>
    </w:lvl>
    <w:lvl w:ilvl="7" w:tplc="843A2BF0">
      <w:start w:val="1"/>
      <w:numFmt w:val="bullet"/>
      <w:lvlText w:val="●"/>
      <w:lvlJc w:val="left"/>
      <w:pPr>
        <w:ind w:left="5760" w:hanging="360"/>
      </w:pPr>
    </w:lvl>
    <w:lvl w:ilvl="8" w:tplc="E126FF58">
      <w:start w:val="1"/>
      <w:numFmt w:val="bullet"/>
      <w:lvlText w:val="●"/>
      <w:lvlJc w:val="left"/>
      <w:pPr>
        <w:ind w:left="6480" w:hanging="360"/>
      </w:pPr>
    </w:lvl>
  </w:abstractNum>
  <w:num w:numId="1" w16cid:durableId="2001034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C65"/>
    <w:rsid w:val="00326C65"/>
    <w:rsid w:val="006C41C6"/>
    <w:rsid w:val="00C3733B"/>
    <w:rsid w:val="00E00FFF"/>
    <w:rsid w:val="00F2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804B05"/>
  <w15:docId w15:val="{78414C6E-495B-5D47-B35F-BC3E87254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2310</Words>
  <Characters>12613</Characters>
  <Application>Microsoft Office Word</Application>
  <DocSecurity>0</DocSecurity>
  <Lines>153</Lines>
  <Paragraphs>30</Paragraphs>
  <ScaleCrop>false</ScaleCrop>
  <Company/>
  <LinksUpToDate>false</LinksUpToDate>
  <CharactersWithSpaces>14893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Projet Consultoria</cp:lastModifiedBy>
  <cp:revision>4</cp:revision>
  <dcterms:created xsi:type="dcterms:W3CDTF">2026-08-05T16:40:00Z</dcterms:created>
  <dcterms:modified xsi:type="dcterms:W3CDTF">2026-08-10T13:09:00Z</dcterms:modified>
</cp:coreProperties>
</file>